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56" w:type="dxa"/>
        <w:tblLayout w:type="fixed"/>
        <w:tblLook w:val="01E0" w:firstRow="1" w:lastRow="1" w:firstColumn="1" w:lastColumn="1" w:noHBand="0" w:noVBand="0"/>
      </w:tblPr>
      <w:tblGrid>
        <w:gridCol w:w="2694"/>
        <w:gridCol w:w="6662"/>
      </w:tblGrid>
      <w:tr w:rsidR="00A2125F" w:rsidRPr="00D30615" w14:paraId="77C76FFC" w14:textId="77777777" w:rsidTr="00303B95">
        <w:tc>
          <w:tcPr>
            <w:tcW w:w="2694" w:type="dxa"/>
            <w:hideMark/>
          </w:tcPr>
          <w:p w14:paraId="10C8DF50" w14:textId="77777777" w:rsidR="00A2125F" w:rsidRPr="00D30615" w:rsidRDefault="00A2125F" w:rsidP="00934F47">
            <w:pPr>
              <w:pStyle w:val="BodyText"/>
              <w:ind w:left="0" w:hanging="3"/>
              <w:jc w:val="center"/>
              <w:rPr>
                <w:rFonts w:ascii="Times New Roman" w:hAnsi="Times New Roman"/>
                <w:b/>
                <w:bCs/>
                <w:sz w:val="26"/>
                <w:szCs w:val="26"/>
              </w:rPr>
            </w:pPr>
            <w:r w:rsidRPr="00D30615">
              <w:rPr>
                <w:rFonts w:ascii="Times New Roman" w:hAnsi="Times New Roman"/>
                <w:b/>
                <w:bCs/>
                <w:sz w:val="26"/>
                <w:szCs w:val="26"/>
              </w:rPr>
              <w:t>ỦY BAN NHÂN DÂN</w:t>
            </w:r>
          </w:p>
        </w:tc>
        <w:tc>
          <w:tcPr>
            <w:tcW w:w="6662" w:type="dxa"/>
            <w:hideMark/>
          </w:tcPr>
          <w:p w14:paraId="052BAE39" w14:textId="77777777" w:rsidR="00A2125F" w:rsidRPr="00D30615" w:rsidRDefault="00A2125F" w:rsidP="00934F47">
            <w:pPr>
              <w:pStyle w:val="BodyText"/>
              <w:ind w:left="0" w:hanging="3"/>
              <w:jc w:val="center"/>
              <w:rPr>
                <w:rFonts w:ascii="Times New Roman" w:hAnsi="Times New Roman"/>
                <w:b/>
                <w:sz w:val="26"/>
                <w:szCs w:val="26"/>
              </w:rPr>
            </w:pPr>
            <w:r w:rsidRPr="00D30615">
              <w:rPr>
                <w:rFonts w:ascii="Times New Roman" w:hAnsi="Times New Roman"/>
                <w:b/>
                <w:sz w:val="26"/>
                <w:szCs w:val="26"/>
              </w:rPr>
              <w:t>CỘNG HÒA XÃ HỘI CHỦ NGHĨA VIỆT NAM</w:t>
            </w:r>
          </w:p>
        </w:tc>
      </w:tr>
      <w:tr w:rsidR="00A2125F" w:rsidRPr="00D30615" w14:paraId="3DE86CE8" w14:textId="77777777" w:rsidTr="00303B95">
        <w:tc>
          <w:tcPr>
            <w:tcW w:w="2694" w:type="dxa"/>
            <w:hideMark/>
          </w:tcPr>
          <w:p w14:paraId="392007FD" w14:textId="77777777" w:rsidR="00A2125F" w:rsidRPr="00D30615" w:rsidRDefault="00A2125F" w:rsidP="00934F47">
            <w:pPr>
              <w:pStyle w:val="BodyText"/>
              <w:ind w:left="0" w:hanging="3"/>
              <w:jc w:val="center"/>
              <w:rPr>
                <w:rFonts w:ascii="Times New Roman" w:hAnsi="Times New Roman"/>
                <w:b/>
                <w:bCs/>
                <w:sz w:val="26"/>
                <w:szCs w:val="26"/>
              </w:rPr>
            </w:pPr>
            <w:r w:rsidRPr="00D30615">
              <w:rPr>
                <w:rFonts w:ascii="Times New Roman" w:hAnsi="Times New Roman"/>
                <w:b/>
                <w:bCs/>
                <w:sz w:val="26"/>
                <w:szCs w:val="26"/>
              </w:rPr>
              <w:t>TỈNH BÌNH ĐỊNH</w:t>
            </w:r>
          </w:p>
        </w:tc>
        <w:tc>
          <w:tcPr>
            <w:tcW w:w="6662" w:type="dxa"/>
            <w:hideMark/>
          </w:tcPr>
          <w:p w14:paraId="1CDF4F0D" w14:textId="77777777" w:rsidR="00A2125F" w:rsidRPr="00D30615" w:rsidRDefault="00A2125F" w:rsidP="00934F47">
            <w:pPr>
              <w:pStyle w:val="BodyText"/>
              <w:ind w:left="0" w:hanging="3"/>
              <w:jc w:val="center"/>
              <w:rPr>
                <w:rFonts w:ascii="Times New Roman" w:hAnsi="Times New Roman"/>
                <w:b/>
                <w:szCs w:val="26"/>
              </w:rPr>
            </w:pPr>
            <w:r w:rsidRPr="00D30615">
              <w:rPr>
                <w:rFonts w:ascii="Times New Roman" w:hAnsi="Times New Roman"/>
                <w:b/>
                <w:szCs w:val="26"/>
              </w:rPr>
              <w:t>Độc lập – Tự do – Hạnh phúc</w:t>
            </w:r>
          </w:p>
        </w:tc>
      </w:tr>
      <w:tr w:rsidR="00A2125F" w:rsidRPr="00D30615" w14:paraId="5DD636EC" w14:textId="77777777" w:rsidTr="00303B95">
        <w:tc>
          <w:tcPr>
            <w:tcW w:w="2694" w:type="dxa"/>
            <w:hideMark/>
          </w:tcPr>
          <w:p w14:paraId="18A6C930" w14:textId="77777777" w:rsidR="00A2125F" w:rsidRPr="00D30615" w:rsidRDefault="00A2125F" w:rsidP="00934F47">
            <w:pPr>
              <w:pStyle w:val="BodyText"/>
              <w:ind w:left="0" w:hanging="3"/>
              <w:jc w:val="center"/>
              <w:rPr>
                <w:rFonts w:ascii="Times New Roman" w:hAnsi="Times New Roman"/>
                <w:szCs w:val="26"/>
                <w:vertAlign w:val="superscript"/>
              </w:rPr>
            </w:pPr>
            <w:r w:rsidRPr="00D30615">
              <w:rPr>
                <w:rFonts w:ascii="Times New Roman" w:hAnsi="Times New Roman"/>
                <w:szCs w:val="26"/>
                <w:vertAlign w:val="superscript"/>
              </w:rPr>
              <w:sym w:font="Symbol" w:char="F0BE"/>
            </w:r>
            <w:r w:rsidRPr="00D30615">
              <w:rPr>
                <w:rFonts w:ascii="Times New Roman" w:hAnsi="Times New Roman"/>
                <w:szCs w:val="26"/>
                <w:vertAlign w:val="superscript"/>
              </w:rPr>
              <w:sym w:font="Symbol" w:char="F0BE"/>
            </w:r>
            <w:r w:rsidRPr="00D30615">
              <w:rPr>
                <w:rFonts w:ascii="Times New Roman" w:hAnsi="Times New Roman"/>
                <w:szCs w:val="26"/>
                <w:vertAlign w:val="superscript"/>
              </w:rPr>
              <w:sym w:font="Symbol" w:char="F0BE"/>
            </w:r>
            <w:r w:rsidRPr="00D30615">
              <w:rPr>
                <w:rFonts w:ascii="Times New Roman" w:hAnsi="Times New Roman"/>
                <w:szCs w:val="26"/>
                <w:vertAlign w:val="superscript"/>
              </w:rPr>
              <w:sym w:font="Symbol" w:char="F0BE"/>
            </w:r>
            <w:r w:rsidRPr="00D30615">
              <w:rPr>
                <w:rFonts w:ascii="Times New Roman" w:hAnsi="Times New Roman"/>
                <w:szCs w:val="26"/>
                <w:vertAlign w:val="superscript"/>
              </w:rPr>
              <w:sym w:font="Symbol" w:char="F0BE"/>
            </w:r>
            <w:r w:rsidRPr="00D30615">
              <w:rPr>
                <w:rFonts w:ascii="Times New Roman" w:hAnsi="Times New Roman"/>
                <w:szCs w:val="26"/>
                <w:vertAlign w:val="superscript"/>
              </w:rPr>
              <w:sym w:font="Symbol" w:char="F0BE"/>
            </w:r>
            <w:r w:rsidRPr="00D30615">
              <w:rPr>
                <w:rFonts w:ascii="Times New Roman" w:hAnsi="Times New Roman"/>
                <w:szCs w:val="26"/>
                <w:vertAlign w:val="superscript"/>
              </w:rPr>
              <w:sym w:font="Symbol" w:char="F0BE"/>
            </w:r>
            <w:r w:rsidRPr="00D30615">
              <w:rPr>
                <w:rFonts w:ascii="Times New Roman" w:hAnsi="Times New Roman"/>
                <w:szCs w:val="26"/>
                <w:vertAlign w:val="superscript"/>
              </w:rPr>
              <w:sym w:font="Symbol" w:char="F0BE"/>
            </w:r>
            <w:r w:rsidRPr="00D30615">
              <w:rPr>
                <w:rFonts w:ascii="Times New Roman" w:hAnsi="Times New Roman"/>
                <w:szCs w:val="26"/>
                <w:vertAlign w:val="superscript"/>
              </w:rPr>
              <w:sym w:font="Symbol" w:char="F0BE"/>
            </w:r>
          </w:p>
        </w:tc>
        <w:tc>
          <w:tcPr>
            <w:tcW w:w="6662" w:type="dxa"/>
            <w:hideMark/>
          </w:tcPr>
          <w:p w14:paraId="51810629" w14:textId="77777777" w:rsidR="00A2125F" w:rsidRPr="00D30615" w:rsidRDefault="00A2125F" w:rsidP="00934F47">
            <w:pPr>
              <w:pStyle w:val="BodyText"/>
              <w:ind w:left="0" w:hanging="3"/>
              <w:jc w:val="center"/>
              <w:rPr>
                <w:rFonts w:ascii="Times New Roman" w:hAnsi="Times New Roman"/>
                <w:szCs w:val="26"/>
                <w:vertAlign w:val="superscript"/>
              </w:rPr>
            </w:pPr>
            <w:r w:rsidRPr="00D30615">
              <w:rPr>
                <w:rFonts w:ascii="Times New Roman" w:hAnsi="Times New Roman"/>
                <w:szCs w:val="26"/>
                <w:vertAlign w:val="superscript"/>
              </w:rPr>
              <w:t xml:space="preserve"> </w:t>
            </w:r>
            <w:r w:rsidRPr="00D30615">
              <w:rPr>
                <w:rFonts w:ascii="Times New Roman" w:hAnsi="Times New Roman"/>
                <w:szCs w:val="26"/>
                <w:vertAlign w:val="superscript"/>
              </w:rPr>
              <w:sym w:font="Symbol" w:char="F0BE"/>
            </w:r>
            <w:r w:rsidRPr="00D30615">
              <w:rPr>
                <w:rFonts w:ascii="Times New Roman" w:hAnsi="Times New Roman"/>
                <w:szCs w:val="26"/>
                <w:vertAlign w:val="superscript"/>
              </w:rPr>
              <w:sym w:font="Symbol" w:char="F0BE"/>
            </w:r>
            <w:r w:rsidRPr="00D30615">
              <w:rPr>
                <w:rFonts w:ascii="Times New Roman" w:hAnsi="Times New Roman"/>
                <w:szCs w:val="26"/>
                <w:vertAlign w:val="superscript"/>
              </w:rPr>
              <w:sym w:font="Symbol" w:char="F0BE"/>
            </w:r>
            <w:r w:rsidRPr="00D30615">
              <w:rPr>
                <w:rFonts w:ascii="Times New Roman" w:hAnsi="Times New Roman"/>
                <w:szCs w:val="26"/>
                <w:vertAlign w:val="superscript"/>
              </w:rPr>
              <w:sym w:font="Symbol" w:char="F0BE"/>
            </w:r>
            <w:r w:rsidRPr="00D30615">
              <w:rPr>
                <w:rFonts w:ascii="Times New Roman" w:hAnsi="Times New Roman"/>
                <w:szCs w:val="26"/>
                <w:vertAlign w:val="superscript"/>
              </w:rPr>
              <w:sym w:font="Symbol" w:char="F0BE"/>
            </w:r>
            <w:r w:rsidRPr="00D30615">
              <w:rPr>
                <w:rFonts w:ascii="Times New Roman" w:hAnsi="Times New Roman"/>
                <w:szCs w:val="26"/>
                <w:vertAlign w:val="superscript"/>
              </w:rPr>
              <w:sym w:font="Symbol" w:char="F0BE"/>
            </w:r>
            <w:r w:rsidRPr="00D30615">
              <w:rPr>
                <w:rFonts w:ascii="Times New Roman" w:hAnsi="Times New Roman"/>
                <w:szCs w:val="26"/>
                <w:vertAlign w:val="superscript"/>
              </w:rPr>
              <w:sym w:font="Symbol" w:char="F0BE"/>
            </w:r>
            <w:r w:rsidRPr="00D30615">
              <w:rPr>
                <w:rFonts w:ascii="Times New Roman" w:hAnsi="Times New Roman"/>
                <w:szCs w:val="26"/>
                <w:vertAlign w:val="superscript"/>
              </w:rPr>
              <w:sym w:font="Symbol" w:char="F0BE"/>
            </w:r>
            <w:r w:rsidRPr="00D30615">
              <w:rPr>
                <w:rFonts w:ascii="Times New Roman" w:hAnsi="Times New Roman"/>
                <w:szCs w:val="26"/>
                <w:vertAlign w:val="superscript"/>
              </w:rPr>
              <w:sym w:font="Symbol" w:char="F0BE"/>
            </w:r>
            <w:r w:rsidRPr="00D30615">
              <w:rPr>
                <w:rFonts w:ascii="Times New Roman" w:hAnsi="Times New Roman"/>
                <w:szCs w:val="26"/>
                <w:vertAlign w:val="superscript"/>
              </w:rPr>
              <w:sym w:font="Symbol" w:char="F0BE"/>
            </w:r>
            <w:r w:rsidRPr="00D30615">
              <w:rPr>
                <w:rFonts w:ascii="Times New Roman" w:hAnsi="Times New Roman"/>
                <w:szCs w:val="26"/>
                <w:vertAlign w:val="superscript"/>
              </w:rPr>
              <w:sym w:font="Symbol" w:char="F0BE"/>
            </w:r>
            <w:r w:rsidRPr="00D30615">
              <w:rPr>
                <w:rFonts w:ascii="Times New Roman" w:hAnsi="Times New Roman"/>
                <w:szCs w:val="26"/>
                <w:vertAlign w:val="superscript"/>
              </w:rPr>
              <w:sym w:font="Symbol" w:char="F0BE"/>
            </w:r>
            <w:r w:rsidRPr="00D30615">
              <w:rPr>
                <w:rFonts w:ascii="Times New Roman" w:hAnsi="Times New Roman"/>
                <w:szCs w:val="26"/>
                <w:vertAlign w:val="superscript"/>
              </w:rPr>
              <w:sym w:font="Symbol" w:char="F0BE"/>
            </w:r>
            <w:r w:rsidRPr="00D30615">
              <w:rPr>
                <w:rFonts w:ascii="Times New Roman" w:hAnsi="Times New Roman"/>
                <w:szCs w:val="26"/>
                <w:vertAlign w:val="superscript"/>
              </w:rPr>
              <w:sym w:font="Symbol" w:char="F0BE"/>
            </w:r>
            <w:r w:rsidRPr="00D30615">
              <w:rPr>
                <w:rFonts w:ascii="Times New Roman" w:hAnsi="Times New Roman"/>
                <w:szCs w:val="26"/>
                <w:vertAlign w:val="superscript"/>
              </w:rPr>
              <w:sym w:font="Symbol" w:char="F0BE"/>
            </w:r>
            <w:r w:rsidRPr="00D30615">
              <w:rPr>
                <w:rFonts w:ascii="Times New Roman" w:hAnsi="Times New Roman"/>
                <w:szCs w:val="26"/>
                <w:vertAlign w:val="superscript"/>
              </w:rPr>
              <w:sym w:font="Symbol" w:char="F0BE"/>
            </w:r>
            <w:r w:rsidRPr="00D30615">
              <w:rPr>
                <w:rFonts w:ascii="Times New Roman" w:hAnsi="Times New Roman"/>
                <w:szCs w:val="26"/>
                <w:vertAlign w:val="superscript"/>
              </w:rPr>
              <w:sym w:font="Symbol" w:char="F0BE"/>
            </w:r>
            <w:r w:rsidRPr="00D30615">
              <w:rPr>
                <w:rFonts w:ascii="Times New Roman" w:hAnsi="Times New Roman"/>
                <w:szCs w:val="26"/>
                <w:vertAlign w:val="superscript"/>
              </w:rPr>
              <w:sym w:font="Symbol" w:char="F0BE"/>
            </w:r>
          </w:p>
        </w:tc>
      </w:tr>
      <w:tr w:rsidR="00A2125F" w:rsidRPr="00D30615" w14:paraId="6DCD96EC" w14:textId="77777777" w:rsidTr="00303B95">
        <w:tc>
          <w:tcPr>
            <w:tcW w:w="2694" w:type="dxa"/>
            <w:hideMark/>
          </w:tcPr>
          <w:p w14:paraId="7E05E860" w14:textId="76A4869C" w:rsidR="00A2125F" w:rsidRPr="00D30615" w:rsidRDefault="00A2125F" w:rsidP="00A2125F">
            <w:pPr>
              <w:pStyle w:val="BodyText"/>
              <w:ind w:left="0" w:hanging="3"/>
              <w:jc w:val="center"/>
              <w:rPr>
                <w:rFonts w:ascii="Times New Roman" w:hAnsi="Times New Roman"/>
                <w:sz w:val="26"/>
                <w:szCs w:val="26"/>
              </w:rPr>
            </w:pPr>
            <w:r w:rsidRPr="00D30615">
              <w:rPr>
                <w:rFonts w:ascii="Times New Roman" w:hAnsi="Times New Roman"/>
                <w:sz w:val="26"/>
                <w:szCs w:val="26"/>
              </w:rPr>
              <w:t>Số:          /BC-UBND</w:t>
            </w:r>
          </w:p>
        </w:tc>
        <w:tc>
          <w:tcPr>
            <w:tcW w:w="6662" w:type="dxa"/>
            <w:hideMark/>
          </w:tcPr>
          <w:p w14:paraId="43B0B99D" w14:textId="77777777" w:rsidR="00A2125F" w:rsidRPr="00D30615" w:rsidRDefault="00A2125F" w:rsidP="00934F47">
            <w:pPr>
              <w:pStyle w:val="BodyText"/>
              <w:ind w:left="0" w:hanging="3"/>
              <w:jc w:val="center"/>
              <w:rPr>
                <w:rFonts w:ascii="Times New Roman" w:hAnsi="Times New Roman"/>
                <w:i/>
                <w:sz w:val="26"/>
                <w:szCs w:val="26"/>
              </w:rPr>
            </w:pPr>
            <w:r w:rsidRPr="00D30615">
              <w:rPr>
                <w:rFonts w:ascii="Times New Roman" w:hAnsi="Times New Roman"/>
                <w:i/>
                <w:sz w:val="26"/>
                <w:szCs w:val="26"/>
              </w:rPr>
              <w:t>Bình Định, ngày        tháng        năm 2025</w:t>
            </w:r>
          </w:p>
        </w:tc>
      </w:tr>
    </w:tbl>
    <w:p w14:paraId="484FF78A" w14:textId="2339D162" w:rsidR="006B4329" w:rsidRDefault="00A2125F">
      <w:pPr>
        <w:pStyle w:val="Heading1"/>
        <w:spacing w:before="600" w:line="240" w:lineRule="auto"/>
        <w:ind w:leftChars="0" w:left="0" w:firstLineChars="0" w:firstLine="0"/>
        <w:rPr>
          <w:rFonts w:ascii="Times New Roman" w:hAnsi="Times New Roman"/>
          <w:b/>
          <w:color w:val="000000" w:themeColor="text1"/>
          <w:sz w:val="28"/>
          <w:szCs w:val="28"/>
        </w:rPr>
      </w:pPr>
      <w:r>
        <w:rPr>
          <w:b/>
          <w:noProof/>
          <w:color w:val="000000" w:themeColor="text1"/>
        </w:rPr>
        <mc:AlternateContent>
          <mc:Choice Requires="wps">
            <w:drawing>
              <wp:anchor distT="0" distB="0" distL="114300" distR="114300" simplePos="0" relativeHeight="251662336" behindDoc="0" locked="0" layoutInCell="1" allowOverlap="1" wp14:anchorId="38D530A1" wp14:editId="7C225C83">
                <wp:simplePos x="0" y="0"/>
                <wp:positionH relativeFrom="margin">
                  <wp:align>left</wp:align>
                </wp:positionH>
                <wp:positionV relativeFrom="paragraph">
                  <wp:posOffset>240030</wp:posOffset>
                </wp:positionV>
                <wp:extent cx="1150620" cy="289560"/>
                <wp:effectExtent l="0" t="0" r="11430" b="15240"/>
                <wp:wrapNone/>
                <wp:docPr id="114414964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620" cy="289560"/>
                        </a:xfrm>
                        <a:prstGeom prst="rect">
                          <a:avLst/>
                        </a:prstGeom>
                        <a:solidFill>
                          <a:srgbClr val="FFFFFF"/>
                        </a:solidFill>
                        <a:ln w="9525">
                          <a:solidFill>
                            <a:srgbClr val="000000"/>
                          </a:solidFill>
                          <a:miter lim="800000"/>
                          <a:headEnd/>
                          <a:tailEnd/>
                        </a:ln>
                      </wps:spPr>
                      <wps:txbx>
                        <w:txbxContent>
                          <w:p w14:paraId="153C781C" w14:textId="77777777" w:rsidR="00A2125F" w:rsidRPr="00B06D96" w:rsidRDefault="00A2125F" w:rsidP="00A2125F">
                            <w:pPr>
                              <w:ind w:left="0" w:hanging="3"/>
                              <w:jc w:val="center"/>
                              <w:rPr>
                                <w:b/>
                              </w:rPr>
                            </w:pPr>
                            <w:r w:rsidRPr="00B06D96">
                              <w:rPr>
                                <w:b/>
                              </w:rPr>
                              <w:t>DỰ THẢO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530A1" id="Rectangle 4" o:spid="_x0000_s1026" style="position:absolute;left:0;text-align:left;margin-left:0;margin-top:18.9pt;width:90.6pt;height:22.8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">
                <v:textbox>
                  <w:txbxContent>
                    <w:p w14:paraId="153C781C" w14:textId="77777777" w:rsidR="00A2125F" w:rsidRPr="00B06D96" w:rsidRDefault="00A2125F" w:rsidP="00A2125F">
                      <w:pPr>
                        <w:ind w:left="0" w:hanging="3"/>
                        <w:jc w:val="center"/>
                        <w:rPr>
                          <w:b/>
                        </w:rPr>
                      </w:pPr>
                      <w:r w:rsidRPr="00B06D96">
                        <w:rPr>
                          <w:b/>
                        </w:rPr>
                        <w:t>DỰ THẢO</w:t>
                      </w:r>
                    </w:p>
                  </w:txbxContent>
                </v:textbox>
                <w10:wrap anchorx="margin"/>
              </v:rect>
            </w:pict>
          </mc:Fallback>
        </mc:AlternateContent>
      </w:r>
      <w:r w:rsidR="00D0460A">
        <w:rPr>
          <w:rFonts w:ascii="Times New Roman" w:hAnsi="Times New Roman"/>
          <w:b/>
          <w:color w:val="000000" w:themeColor="text1"/>
          <w:sz w:val="28"/>
          <w:szCs w:val="28"/>
        </w:rPr>
        <w:t>BÁO CÁO</w:t>
      </w:r>
    </w:p>
    <w:p w14:paraId="484FF78B" w14:textId="1249BC00" w:rsidR="006B4329" w:rsidRDefault="00D0460A">
      <w:pPr>
        <w:pStyle w:val="Heading1"/>
        <w:spacing w:line="240" w:lineRule="auto"/>
        <w:ind w:leftChars="0" w:left="0" w:firstLineChars="0" w:firstLine="0"/>
        <w:rPr>
          <w:rFonts w:ascii="Times New Roman" w:hAnsi="Times New Roman"/>
          <w:color w:val="000000" w:themeColor="text1"/>
          <w:sz w:val="28"/>
          <w:szCs w:val="28"/>
        </w:rPr>
      </w:pPr>
      <w:r>
        <w:rPr>
          <w:rFonts w:ascii="Times New Roman" w:hAnsi="Times New Roman"/>
          <w:b/>
          <w:color w:val="000000" w:themeColor="text1"/>
          <w:sz w:val="28"/>
          <w:szCs w:val="28"/>
        </w:rPr>
        <w:t>Tình hình kinh tế - xã hội tháng 4</w:t>
      </w:r>
    </w:p>
    <w:p w14:paraId="484FF78C" w14:textId="05098CBB" w:rsidR="006B4329" w:rsidRDefault="00D0460A">
      <w:pPr>
        <w:pStyle w:val="Heading2"/>
        <w:spacing w:after="720" w:line="240" w:lineRule="auto"/>
        <w:ind w:left="0" w:hanging="3"/>
        <w:rPr>
          <w:rFonts w:ascii="Times New Roman" w:hAnsi="Times New Roman"/>
          <w:color w:val="000000" w:themeColor="text1"/>
          <w:sz w:val="28"/>
          <w:szCs w:val="28"/>
        </w:rPr>
      </w:pPr>
      <w:r>
        <w:rPr>
          <w:rFonts w:ascii="Times New Roman" w:hAnsi="Times New Roman"/>
          <w:noProof/>
          <w:color w:val="000000" w:themeColor="text1"/>
          <w:sz w:val="26"/>
          <w:szCs w:val="26"/>
        </w:rPr>
        <mc:AlternateContent>
          <mc:Choice Requires="wps">
            <w:drawing>
              <wp:anchor distT="0" distB="0" distL="114300" distR="114300" simplePos="0" relativeHeight="251661312" behindDoc="0" locked="0" layoutInCell="1" allowOverlap="1" wp14:anchorId="484FF800" wp14:editId="484FF801">
                <wp:simplePos x="0" y="0"/>
                <wp:positionH relativeFrom="column">
                  <wp:posOffset>2615565</wp:posOffset>
                </wp:positionH>
                <wp:positionV relativeFrom="paragraph">
                  <wp:posOffset>279400</wp:posOffset>
                </wp:positionV>
                <wp:extent cx="699135" cy="0"/>
                <wp:effectExtent l="38100" t="38100" r="62865" b="95250"/>
                <wp:wrapNone/>
                <wp:docPr id="78764511" name="Straight Connector 1"/>
                <wp:cNvGraphicFramePr/>
                <a:graphic xmlns:a="http://schemas.openxmlformats.org/drawingml/2006/main">
                  <a:graphicData uri="http://schemas.microsoft.com/office/word/2010/wordprocessingShape">
                    <wps:wsp>
                      <wps:cNvCnPr/>
                      <wps:spPr>
                        <a:xfrm>
                          <a:off x="0" y="0"/>
                          <a:ext cx="699135" cy="0"/>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psCustomData="http://www.wps.cn/officeDocument/2013/wpsCustomData">
            <w:pict>
              <v:line id="Straight Connector 1" o:spid="_x0000_s1026" o:spt="20" style="position:absolute;left:0pt;margin-left:205.95pt;margin-top:22pt;height:0pt;width:55.05pt;z-index:251661312;mso-width-relative:page;mso-height-relative:page;" filled="f" stroked="t" coordsize="21600,21600" o:gfxdata="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qHmL9UAAAAJAQAADwAAAAAA&#10;AAABACAAAAAiAAAAZHJzL2Rvd25yZXYueG1sUEsBAhQAFAAAAAgAh07iQMiap0kWAgAATwQAAA4A&#10;AAAAAAAAAQAgAAAAJAEAAGRycy9lMm9Eb2MueG1sUEsFBgAAAAAGAAYAWQEAAKwFAAAAAA==&#10;">
                <v:fill on="f" focussize="0,0"/>
                <v:stroke weight="0.25pt" color="#000000 [3213]" joinstyle="round"/>
                <v:imagedata o:title=""/>
                <o:lock v:ext="edit" aspectratio="f"/>
                <v:shadow on="t" color="#000000" opacity="24903f" offset="0pt,1.5748031496063pt" origin="0f,32768f" matrix="65536f,0f,0f,65536f"/>
              </v:line>
            </w:pict>
          </mc:Fallback>
        </mc:AlternateContent>
      </w:r>
      <w:r>
        <w:rPr>
          <w:rFonts w:ascii="Times New Roman" w:hAnsi="Times New Roman"/>
          <w:color w:val="000000" w:themeColor="text1"/>
          <w:sz w:val="28"/>
          <w:szCs w:val="28"/>
        </w:rPr>
        <w:t>và nhiệm vụ trọng tâm tháng 5 năm 2025</w:t>
      </w:r>
    </w:p>
    <w:p w14:paraId="484FF797" w14:textId="3912D9C9" w:rsidR="006B4329" w:rsidRDefault="00D0460A">
      <w:pPr>
        <w:widowControl w:val="0"/>
        <w:spacing w:before="120" w:after="120" w:line="240" w:lineRule="auto"/>
        <w:ind w:leftChars="0" w:left="0" w:firstLineChars="0" w:firstLine="720"/>
        <w:jc w:val="both"/>
        <w:rPr>
          <w:b/>
          <w:color w:val="000000" w:themeColor="text1"/>
        </w:rPr>
      </w:pPr>
      <w:r>
        <w:rPr>
          <w:b/>
          <w:color w:val="000000" w:themeColor="text1"/>
        </w:rPr>
        <w:t>I.  TÌNH HÌNH KINH TẾ - XÃ HỘI THÁNG 4/2025</w:t>
      </w:r>
    </w:p>
    <w:p w14:paraId="484FF798" w14:textId="162D3330" w:rsidR="006B4329" w:rsidRDefault="00D0460A">
      <w:pPr>
        <w:widowControl w:val="0"/>
        <w:spacing w:before="120" w:after="120" w:line="240" w:lineRule="auto"/>
        <w:ind w:leftChars="0" w:left="0" w:firstLineChars="0" w:firstLine="720"/>
        <w:jc w:val="both"/>
        <w:rPr>
          <w:b/>
          <w:color w:val="000000" w:themeColor="text1"/>
        </w:rPr>
      </w:pPr>
      <w:r>
        <w:rPr>
          <w:b/>
          <w:color w:val="000000" w:themeColor="text1"/>
        </w:rPr>
        <w:t>1. Về sản xuất nông, lâm, thủy sản, quản lý tài nguyên, môi trường</w:t>
      </w:r>
    </w:p>
    <w:p w14:paraId="484FF799" w14:textId="4EA83DE2" w:rsidR="006B4329" w:rsidRDefault="00D0460A">
      <w:pPr>
        <w:widowControl w:val="0"/>
        <w:spacing w:before="120" w:after="120" w:line="240" w:lineRule="auto"/>
        <w:ind w:leftChars="0" w:left="0" w:firstLineChars="0" w:firstLine="720"/>
        <w:jc w:val="both"/>
        <w:rPr>
          <w:color w:val="000000" w:themeColor="text1"/>
        </w:rPr>
      </w:pPr>
      <w:r>
        <w:rPr>
          <w:bCs/>
          <w:color w:val="000000" w:themeColor="text1"/>
        </w:rPr>
        <w:t>Trong tháng 4, ngành Nông nghiệp và Môi trường đã phối hợp với các địa phương tập trung chỉ đạo hoàn</w:t>
      </w:r>
      <w:r>
        <w:rPr>
          <w:color w:val="000000" w:themeColor="text1"/>
        </w:rPr>
        <w:t xml:space="preserve"> thành kế hoạch sản xuất vụ Đông Xuân 2024 - 2025 và triển khai kế hoạch sản xuất vụ Hè Thu năm 2025; trong đó, tiếp tục đẩy mạnh chuyển đổi cơ cấu cây trồng, mùa vụ, bố trí cơ cấu giống phù hợp; phát triển đàn vật nuôi gắn với công tác phòng chống dịch bệnh trên gia súc, gia cầm; thực hiện các giải pháp cấp bách về chống khai thác thủy sản bất hợp pháp (IUU) và các chính sách hỗ trợ ngư dân khai thác xa bờ; triển khai công tác bảo vệ rừng và phòng cháy, chữa cháy rừng, phát triển trồng rừng sản xuất; công tác đảm bảo an toàn vệ sinh thực phẩm; công tác quản lý đất đai, tài nguyên khoáng sản và bảo vệ môi trường trên địa bàn tỉnh tiếp tục được tăng cường, triển khai thực hiện có hiệu quả. Nhìn chung, tình hình sản xuất nông, lâm, thủy sản, quản lý tài nguyên và môi trường tháng 4/2025 tiếp tục duy trì được sự ổn định và phát triển.</w:t>
      </w:r>
    </w:p>
    <w:p w14:paraId="607CD800" w14:textId="77777777" w:rsidR="006F1DA5" w:rsidRDefault="00D0460A" w:rsidP="006F1DA5">
      <w:pPr>
        <w:widowControl w:val="0"/>
        <w:spacing w:before="120" w:after="120" w:line="240" w:lineRule="auto"/>
        <w:ind w:leftChars="0" w:left="0" w:firstLineChars="0" w:firstLine="720"/>
        <w:jc w:val="both"/>
        <w:rPr>
          <w:color w:val="000000" w:themeColor="text1"/>
        </w:rPr>
      </w:pPr>
      <w:r>
        <w:rPr>
          <w:i/>
          <w:color w:val="000000" w:themeColor="text1"/>
        </w:rPr>
        <w:t xml:space="preserve">- Về trồng trọt: </w:t>
      </w:r>
      <w:r>
        <w:rPr>
          <w:color w:val="000000" w:themeColor="text1"/>
        </w:rPr>
        <w:t xml:space="preserve">Đối với vụ Đông Xuân, các cây trồng đang trong giai đoạn thu hoạch; trong đó, cây lúa đã thu hoạch được </w:t>
      </w:r>
      <w:r w:rsidR="006F1DA5" w:rsidRPr="00C62458">
        <w:rPr>
          <w:lang w:val="es-ES"/>
        </w:rPr>
        <w:t>36.456,3 ha</w:t>
      </w:r>
      <w:r>
        <w:rPr>
          <w:color w:val="000000" w:themeColor="text1"/>
        </w:rPr>
        <w:t xml:space="preserve">, đạt </w:t>
      </w:r>
      <w:r w:rsidR="006F1DA5">
        <w:rPr>
          <w:color w:val="000000" w:themeColor="text1"/>
        </w:rPr>
        <w:t>77,9</w:t>
      </w:r>
      <w:r>
        <w:rPr>
          <w:color w:val="000000" w:themeColor="text1"/>
        </w:rPr>
        <w:t>% diện tích thực hiện; năng suất ước đạt 73,4 tạ/ha, tương đương cùng kỳ. Đối với vụ Hè Thu, kế hoạch sản xuất cây lúa là 41.344 ha; đến nay đã gieo sạ được 2.850 ha ở các huyện Phù Mỹ (1.840 ha), thị xã Hoài Nhơn (600 ha), Phù Cát (310 ha), An Lão (100 ha).</w:t>
      </w:r>
    </w:p>
    <w:p w14:paraId="06A65204" w14:textId="08650F5E" w:rsidR="006F1DA5" w:rsidRDefault="006F1DA5" w:rsidP="006F1DA5">
      <w:pPr>
        <w:widowControl w:val="0"/>
        <w:spacing w:before="120" w:after="120" w:line="240" w:lineRule="auto"/>
        <w:ind w:leftChars="0" w:left="0" w:firstLineChars="0" w:firstLine="720"/>
        <w:jc w:val="both"/>
        <w:rPr>
          <w:color w:val="000000" w:themeColor="text1"/>
        </w:rPr>
      </w:pPr>
      <w:r>
        <w:rPr>
          <w:color w:val="000000" w:themeColor="text1"/>
        </w:rPr>
        <w:t xml:space="preserve">Diện tích gieo trồng một số cây chủ lực khác như sau: </w:t>
      </w:r>
      <w:r w:rsidRPr="006F1DA5">
        <w:rPr>
          <w:color w:val="000000" w:themeColor="text1"/>
        </w:rPr>
        <w:t>Cây ngô 2.436,4 ha, đạt 102,9% so với kế hoạch, tăng 5,6% (+130,1 ha) so với cùng kỳ; cây lạc 8.998,6 ha, đạt 101,6% so với kế hoạch, tăng 1,6% (+145,3 ha) so với cùng kỳ; rau các loại 5.702,1 ha, đạt 97,9% so với kế hoạch, tăng 0,8% (+42,9 ha) so với cùng kỳ; đậu các loại 1.335,5 ha, đạt 108,4% so với kế hoạch, tăng 2,7% (+35 ha) so với cùng kỳ</w:t>
      </w:r>
      <w:r>
        <w:rPr>
          <w:color w:val="000000" w:themeColor="text1"/>
        </w:rPr>
        <w:t>.</w:t>
      </w:r>
    </w:p>
    <w:p w14:paraId="484FF79B"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Tiến độ chuyển đổi cơ cấu cây trồng: Đã thực hiện chuyển đổi cây trồng vụ Đông Xuân ước đạt 2.544 ha, đạt 87,3% kế hoạch vụ và 35% kế hoạch năm, cụ thể: Chuyển đổi trên đất trồng lúa 913 ha, chuyển đổi trên đất trồng sắn 1.573 ha, chuyển đổi trên đất trồng mía 58 ha.</w:t>
      </w:r>
    </w:p>
    <w:p w14:paraId="484FF79C"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 xml:space="preserve">Tình hình sinh vật gây hại cây trồng: Trong tháng 4 có các đối tượng gây hại như: rầy nâu và rầy lưng trắng, bệnh đạo ôn gây hại cục bộ trên cây lúa; bệnh đốm lá, bệnh rỉ sắt gây hại trên lạc; sâu cắn lá gây hại trên cây ngô,… các đối tượng đã </w:t>
      </w:r>
      <w:r>
        <w:rPr>
          <w:color w:val="000000" w:themeColor="text1"/>
        </w:rPr>
        <w:lastRenderedPageBreak/>
        <w:t>được chỉ đạo phòng trừ kịp thời đạt hiệu quả.</w:t>
      </w:r>
    </w:p>
    <w:p w14:paraId="2038E6B1" w14:textId="13163CFD" w:rsidR="006F1DA5" w:rsidRDefault="00D0460A">
      <w:pPr>
        <w:widowControl w:val="0"/>
        <w:spacing w:before="120" w:after="120" w:line="240" w:lineRule="auto"/>
        <w:ind w:leftChars="0" w:left="0" w:firstLineChars="0" w:firstLine="720"/>
        <w:jc w:val="both"/>
        <w:rPr>
          <w:color w:val="000000" w:themeColor="text1"/>
        </w:rPr>
      </w:pPr>
      <w:r>
        <w:rPr>
          <w:i/>
          <w:color w:val="000000" w:themeColor="text1"/>
        </w:rPr>
        <w:t>- Về chăn nuôi</w:t>
      </w:r>
      <w:r>
        <w:rPr>
          <w:color w:val="000000" w:themeColor="text1"/>
        </w:rPr>
        <w:t xml:space="preserve">: Công tác quản lý kiểm soát chăn nuôi, phát triển tái đàn gắn với phòng, chống dịch bệnh trên địa bàn tỉnh tiếp tục được tăng cường, tình hình chăn nuôi phát triển ổn định. Tổng đàn vật nuôi kỳ tháng 4/2025: </w:t>
      </w:r>
      <w:r w:rsidR="006F1DA5" w:rsidRPr="00C62458">
        <w:rPr>
          <w:bCs/>
          <w:lang w:val="pt-BR"/>
        </w:rPr>
        <w:t xml:space="preserve">đàn trâu ước đạt 13.380 con, giảm 8,8% (-1.291 con) so với cùng kỳ. Đàn bò ước đạt 307.129 con, tăng 1,2% (+3.717 con) so với cùng kỳ; trong đó, bò sữa đạt 2.456 con, tăng 11,6% (+256 con). </w:t>
      </w:r>
      <w:r w:rsidR="006F1DA5" w:rsidRPr="00C62458">
        <w:rPr>
          <w:lang w:val="es-ES"/>
        </w:rPr>
        <w:t xml:space="preserve">Đàn lợn </w:t>
      </w:r>
      <w:r w:rsidR="006F1DA5" w:rsidRPr="00C62458">
        <w:rPr>
          <w:i/>
          <w:lang w:val="es-ES"/>
        </w:rPr>
        <w:t>(không kể lợn con chưa tách mẹ)</w:t>
      </w:r>
      <w:r w:rsidR="006F1DA5" w:rsidRPr="00C62458">
        <w:rPr>
          <w:lang w:val="es-ES"/>
        </w:rPr>
        <w:t xml:space="preserve"> ước đạt 750.664 con, tăng 9,5% (+64.851 con) so với cùng kỳ</w:t>
      </w:r>
      <w:r w:rsidR="006F1DA5" w:rsidRPr="00C62458">
        <w:rPr>
          <w:bCs/>
          <w:lang w:val="pt-BR"/>
        </w:rPr>
        <w:t>. Đ</w:t>
      </w:r>
      <w:r w:rsidR="006F1DA5" w:rsidRPr="00C62458">
        <w:rPr>
          <w:lang w:val="vi-VN"/>
        </w:rPr>
        <w:t xml:space="preserve">àn gia cầm </w:t>
      </w:r>
      <w:r w:rsidR="006F1DA5" w:rsidRPr="00C62458">
        <w:rPr>
          <w:lang w:val="es-ES"/>
        </w:rPr>
        <w:t xml:space="preserve">ước </w:t>
      </w:r>
      <w:r w:rsidR="006F1DA5" w:rsidRPr="00C62458">
        <w:rPr>
          <w:bCs/>
          <w:lang w:val="pt-BR"/>
        </w:rPr>
        <w:t>đạt 9.846,7 nghìn con, tăng 3,2% (+304,6 nghìn con) so với cùng kỳ; trong đó, đ</w:t>
      </w:r>
      <w:r w:rsidR="006F1DA5" w:rsidRPr="00C62458">
        <w:rPr>
          <w:lang w:val="vi-VN"/>
        </w:rPr>
        <w:t xml:space="preserve">àn </w:t>
      </w:r>
      <w:r w:rsidR="006F1DA5" w:rsidRPr="00C62458">
        <w:rPr>
          <w:lang w:val="es-ES"/>
        </w:rPr>
        <w:t>gà</w:t>
      </w:r>
      <w:r w:rsidR="006F1DA5" w:rsidRPr="00C62458">
        <w:rPr>
          <w:lang w:val="vi-VN"/>
        </w:rPr>
        <w:t xml:space="preserve"> </w:t>
      </w:r>
      <w:r w:rsidR="006F1DA5" w:rsidRPr="00C62458">
        <w:rPr>
          <w:lang w:val="es-ES"/>
        </w:rPr>
        <w:t xml:space="preserve">ước </w:t>
      </w:r>
      <w:r w:rsidR="006F1DA5" w:rsidRPr="00C62458">
        <w:rPr>
          <w:bCs/>
          <w:lang w:val="pt-BR"/>
        </w:rPr>
        <w:t>đạt 8.196,4 nghìn con, tăng 2,4% (+193,8 nghìn con).</w:t>
      </w:r>
    </w:p>
    <w:p w14:paraId="484FF79E"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Triển khai, kiểm tra công tác tiêm phòng vaccine bổ sung, khép kín đối với Cúm gia cầm và Viêm da nổi cục (Cúm gia cầm: Lũy kế đã tiêm được 2.280.255 con; trong đó, NSNN hỗ trợ 812.449 con; Viêm da nổi cục: Lũy kế đã tiêm được 6.326 con trâu bò; Dại: Lũy kế 10.208 con).</w:t>
      </w:r>
    </w:p>
    <w:p w14:paraId="484FF79F" w14:textId="77777777" w:rsidR="006B4329" w:rsidRDefault="00D0460A">
      <w:pPr>
        <w:widowControl w:val="0"/>
        <w:spacing w:before="120" w:after="120" w:line="240" w:lineRule="auto"/>
        <w:ind w:leftChars="0" w:left="0" w:firstLineChars="0" w:firstLine="720"/>
        <w:jc w:val="both"/>
        <w:rPr>
          <w:color w:val="000000" w:themeColor="text1"/>
        </w:rPr>
      </w:pPr>
      <w:r>
        <w:rPr>
          <w:i/>
          <w:color w:val="000000" w:themeColor="text1"/>
        </w:rPr>
        <w:t>- Về</w:t>
      </w:r>
      <w:r>
        <w:rPr>
          <w:color w:val="000000" w:themeColor="text1"/>
        </w:rPr>
        <w:t xml:space="preserve"> </w:t>
      </w:r>
      <w:r>
        <w:rPr>
          <w:i/>
          <w:color w:val="000000" w:themeColor="text1"/>
        </w:rPr>
        <w:t>lâm nghiệp</w:t>
      </w:r>
      <w:r>
        <w:rPr>
          <w:color w:val="000000" w:themeColor="text1"/>
        </w:rPr>
        <w:t>: Thực hiện nghiêm túc công tác bảo vệ và phát triển rừng, tăng cường công tác tuần tra, kiểm soát, tổ chức lực lượng chốt chặn các trạm; công tác trồng, chăm sóc và bảo vệ rừng tiếp tục thực hiện có hiệu quả.</w:t>
      </w:r>
    </w:p>
    <w:p w14:paraId="484FF7A0"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Trong tháng, không để xảy ra cháy rừng, phá rừng, khai thác rừng trái phép; phát hiện và lập biên bản 03 vụ mua, bán, cất giữ, vận chuyển lâm sản trái pháp luật vô chủ; tạm giữ 4,34 m</w:t>
      </w:r>
      <w:r>
        <w:rPr>
          <w:color w:val="000000" w:themeColor="text1"/>
          <w:vertAlign w:val="superscript"/>
        </w:rPr>
        <w:t>3</w:t>
      </w:r>
      <w:r>
        <w:rPr>
          <w:color w:val="000000" w:themeColor="text1"/>
        </w:rPr>
        <w:t xml:space="preserve"> gỗ các loại. Từ đầu năm đến nay, phát hiện và lập biên bản 01 vụ phá rừng xảy ra tại Hoài Ân, diện tích 683 m</w:t>
      </w:r>
      <w:r>
        <w:rPr>
          <w:color w:val="000000" w:themeColor="text1"/>
          <w:vertAlign w:val="superscript"/>
        </w:rPr>
        <w:t>3</w:t>
      </w:r>
      <w:r>
        <w:rPr>
          <w:color w:val="000000" w:themeColor="text1"/>
        </w:rPr>
        <w:t>; xảy ra 03 vụ khai thác rừng trái phép tại Vĩnh Thạnh, với khối lượng gỗ 11,973 m</w:t>
      </w:r>
      <w:r>
        <w:rPr>
          <w:color w:val="000000" w:themeColor="text1"/>
          <w:vertAlign w:val="superscript"/>
        </w:rPr>
        <w:t>3</w:t>
      </w:r>
      <w:r>
        <w:rPr>
          <w:color w:val="000000" w:themeColor="text1"/>
        </w:rPr>
        <w:t>; 19 vụ mua, bán, cất giữ, vận chuyển lâm sản trái pháp luật; phá bỏ cây trồng trên đất lâm nghiệp bị lấn, chiếm trái pháp luật với diện tích 30,063 ha (An Lão 24,31 ha, Phù Cát 5,753 ha).</w:t>
      </w:r>
    </w:p>
    <w:p w14:paraId="484FF7A1"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Sử dụng và phát triển rừng: Trong tháng, đã khai thác được 1.531,52 ha, sản lượng 147.025,92 m</w:t>
      </w:r>
      <w:r>
        <w:rPr>
          <w:color w:val="000000" w:themeColor="text1"/>
          <w:vertAlign w:val="superscript"/>
        </w:rPr>
        <w:t>3</w:t>
      </w:r>
      <w:r>
        <w:rPr>
          <w:color w:val="000000" w:themeColor="text1"/>
        </w:rPr>
        <w:t xml:space="preserve">; đã trồng được 203,48 ha (An Lão 175,0 ha; Hoài Ân 28,48 ha). Từ đầu năm đến nay, </w:t>
      </w:r>
      <w:r>
        <w:rPr>
          <w:color w:val="000000" w:themeColor="text1"/>
          <w:lang w:val="nl-NL"/>
        </w:rPr>
        <w:t>đã khai thác được 2.087,75 ha</w:t>
      </w:r>
      <w:r>
        <w:rPr>
          <w:color w:val="000000" w:themeColor="text1"/>
          <w:vertAlign w:val="superscript"/>
          <w:lang w:val="vi-VN"/>
        </w:rPr>
        <w:footnoteReference w:id="1"/>
      </w:r>
      <w:r>
        <w:rPr>
          <w:color w:val="000000" w:themeColor="text1"/>
          <w:lang w:val="nl-NL"/>
        </w:rPr>
        <w:t>, sản lượng 200.424,19 m</w:t>
      </w:r>
      <w:r>
        <w:rPr>
          <w:color w:val="000000" w:themeColor="text1"/>
          <w:vertAlign w:val="superscript"/>
          <w:lang w:val="nl-NL"/>
        </w:rPr>
        <w:t>3</w:t>
      </w:r>
      <w:r>
        <w:rPr>
          <w:color w:val="000000" w:themeColor="text1"/>
          <w:lang w:val="nl-NL"/>
        </w:rPr>
        <w:t>; đã trồng được 287,22 ha (An Lão 200,0 ha; Hoài Ân 87,22 ha)</w:t>
      </w:r>
      <w:r>
        <w:rPr>
          <w:color w:val="000000" w:themeColor="text1"/>
        </w:rPr>
        <w:t>.</w:t>
      </w:r>
    </w:p>
    <w:p w14:paraId="484FF7A2"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Kết quả thực hiện trồng, chuyển hóa rừng cây gỗ lớn và cấp chứng chỉ rừng trồng: Lũy kế đến nay, diện tích trồng rừng gỗ lớn trên địa bàn tỉnh 10.123,5 ha. Diện tích rừng được cấp chứng chỉ quản lý rừng bền vững đến nay là 12.175,9 ha.</w:t>
      </w:r>
    </w:p>
    <w:p w14:paraId="7043A78F" w14:textId="462D15F3" w:rsidR="004E1694" w:rsidRPr="004E1694" w:rsidRDefault="00D0460A" w:rsidP="004E1694">
      <w:pPr>
        <w:widowControl w:val="0"/>
        <w:spacing w:before="120" w:after="120" w:line="240" w:lineRule="auto"/>
        <w:ind w:leftChars="0" w:left="0" w:firstLineChars="0" w:firstLine="720"/>
        <w:jc w:val="both"/>
        <w:rPr>
          <w:lang w:val="pt-BR"/>
        </w:rPr>
      </w:pPr>
      <w:r>
        <w:rPr>
          <w:i/>
          <w:color w:val="000000" w:themeColor="text1"/>
        </w:rPr>
        <w:t>- Về</w:t>
      </w:r>
      <w:r>
        <w:rPr>
          <w:color w:val="000000" w:themeColor="text1"/>
        </w:rPr>
        <w:t xml:space="preserve"> </w:t>
      </w:r>
      <w:r>
        <w:rPr>
          <w:i/>
          <w:color w:val="000000" w:themeColor="text1"/>
        </w:rPr>
        <w:t>thuỷ sản:</w:t>
      </w:r>
      <w:r>
        <w:rPr>
          <w:color w:val="000000" w:themeColor="text1"/>
        </w:rPr>
        <w:t xml:space="preserve"> Tháng 4, tình hình thời tiết </w:t>
      </w:r>
      <w:r>
        <w:rPr>
          <w:rFonts w:eastAsia="Calibri"/>
          <w:color w:val="000000" w:themeColor="text1"/>
          <w:lang w:val="nl-NL"/>
        </w:rPr>
        <w:t xml:space="preserve">diễn biến tương đối thuận lợi cho hoạt động đánh bắt thủy sản tại các ngư trường nên sản lượng khai thác thủy sản vẫn duy trì ở mức tăng trưởng so với cùng kỳ 2024. </w:t>
      </w:r>
      <w:bookmarkStart w:id="0" w:name="_Hlk193013046"/>
      <w:r>
        <w:rPr>
          <w:rFonts w:eastAsia="Calibri"/>
          <w:color w:val="000000" w:themeColor="text1"/>
          <w:lang w:val="nl-NL"/>
        </w:rPr>
        <w:t xml:space="preserve">Sản lượng khai thác thủy sản tháng 4 </w:t>
      </w:r>
      <w:r w:rsidR="004E1694" w:rsidRPr="00C62458">
        <w:rPr>
          <w:lang w:val="pt-BR"/>
        </w:rPr>
        <w:t xml:space="preserve">ước đạt 25.522,9 tấn, tăng 2,6% (+634,9 tấn); </w:t>
      </w:r>
      <w:r w:rsidR="004E1694">
        <w:rPr>
          <w:lang w:val="pt-BR"/>
        </w:rPr>
        <w:t>lũy kế</w:t>
      </w:r>
      <w:r w:rsidR="004E1694" w:rsidRPr="00C62458">
        <w:rPr>
          <w:lang w:val="pt-BR"/>
        </w:rPr>
        <w:t xml:space="preserve"> 4 tháng đầu năm 2025 ước đạt 85.554,1 tấn, tăng 2,5% (+2.068,7 tấn) so với cùng kỳ.</w:t>
      </w:r>
      <w:r w:rsidR="004E1694">
        <w:rPr>
          <w:lang w:val="pt-BR"/>
        </w:rPr>
        <w:t xml:space="preserve"> </w:t>
      </w:r>
      <w:r w:rsidR="004E1694" w:rsidRPr="00C62458">
        <w:rPr>
          <w:lang w:val="pt-BR"/>
        </w:rPr>
        <w:t xml:space="preserve">Sản lượng nuôi trồng thủy sản tháng 4 ước đạt 919 tấn, tăng 2,6% (+22,9 tấn); </w:t>
      </w:r>
      <w:r w:rsidR="004E1694">
        <w:rPr>
          <w:lang w:val="pt-BR"/>
        </w:rPr>
        <w:t>lũy kế</w:t>
      </w:r>
      <w:r w:rsidR="004E1694" w:rsidRPr="00C62458">
        <w:rPr>
          <w:lang w:val="pt-BR"/>
        </w:rPr>
        <w:t xml:space="preserve"> 4 tháng đầu năm 2025 ước đạt 2.051 tấn, tăng 2,3% (+46,6 tấn) so với cùng kỳ.</w:t>
      </w:r>
    </w:p>
    <w:bookmarkEnd w:id="0"/>
    <w:p w14:paraId="484FF7A4" w14:textId="77777777" w:rsidR="006B4329" w:rsidRDefault="00D0460A">
      <w:pPr>
        <w:widowControl w:val="0"/>
        <w:spacing w:before="120" w:after="120" w:line="240" w:lineRule="auto"/>
        <w:ind w:leftChars="0" w:left="0" w:firstLineChars="0" w:firstLine="720"/>
        <w:jc w:val="both"/>
        <w:rPr>
          <w:color w:val="000000" w:themeColor="text1"/>
          <w:lang w:val="nl-NL"/>
        </w:rPr>
      </w:pPr>
      <w:r>
        <w:rPr>
          <w:rFonts w:eastAsia="Calibri"/>
          <w:color w:val="000000" w:themeColor="text1"/>
          <w:lang w:val="nl-NL"/>
        </w:rPr>
        <w:t xml:space="preserve">Tiếp tục tập trung triển khai nhiệm vụ cấp bách về chống khai thác IUU trên </w:t>
      </w:r>
      <w:r>
        <w:rPr>
          <w:rFonts w:eastAsia="Calibri"/>
          <w:color w:val="000000" w:themeColor="text1"/>
          <w:lang w:val="nl-NL"/>
        </w:rPr>
        <w:lastRenderedPageBreak/>
        <w:t>địa bàn tỉnh, chuẩn bị nội dung làm việc với Đoàn Thanh tra của Ủy ban Châu Âu lần thứ 5 tại Việt Nam</w:t>
      </w:r>
      <w:r>
        <w:rPr>
          <w:color w:val="000000" w:themeColor="text1"/>
        </w:rPr>
        <w:t xml:space="preserve">. </w:t>
      </w:r>
      <w:r>
        <w:rPr>
          <w:rFonts w:eastAsia="Calibri"/>
          <w:color w:val="000000" w:themeColor="text1"/>
          <w:lang w:val="nl-NL"/>
        </w:rPr>
        <w:t>Hàng tuần, ban hành Văn bản thông báo Danh sách tàu cá tỉnh Bình Định có nguy cơ cao vi phạm quy định khai thác thủy sản bất hợp pháp để phối hợp chỉ đạo theo dõi, kiểm tra và có các biện pháp ngăn chặn, xử lý vi phạm; văn bản gửi UBND các xã, phường, thị trấn ven biển, đề nghị phối hợp quản lý các tàu cá không đủ điều kiện hoạt động đánh bắt thủy sản; t</w:t>
      </w:r>
      <w:r>
        <w:rPr>
          <w:color w:val="000000" w:themeColor="text1"/>
          <w:lang w:val="nl-NL"/>
        </w:rPr>
        <w:t>ổ chức Đoàn công tác làm việc các tỉnh phía Nam (Bà Rịa – Vũng Tàu, Tiền Giang) để phối hợp quản lý tàu cá hoạt động ngoài tỉnh; đồng thời trực tiếp gặp gỡ chủ tàu, thuyền trưởng để tuyên truyền, vận động, yêu cầu cam kết không vi phạm khai thác IUU, đặc biệt không vi phạm vùng biển nước ngoài.</w:t>
      </w:r>
    </w:p>
    <w:p w14:paraId="484FF7A5" w14:textId="77777777" w:rsidR="006B4329" w:rsidRDefault="00D0460A">
      <w:pPr>
        <w:widowControl w:val="0"/>
        <w:spacing w:before="120" w:after="120" w:line="240" w:lineRule="auto"/>
        <w:ind w:leftChars="0" w:left="0" w:firstLineChars="0" w:firstLine="720"/>
        <w:jc w:val="both"/>
        <w:rPr>
          <w:rFonts w:eastAsia="Calibri"/>
          <w:color w:val="000000" w:themeColor="text1"/>
          <w:lang w:val="de-DE"/>
        </w:rPr>
      </w:pPr>
      <w:r>
        <w:rPr>
          <w:rFonts w:eastAsia="Calibri"/>
          <w:color w:val="000000" w:themeColor="text1"/>
          <w:lang w:val="de-DE"/>
        </w:rPr>
        <w:t>Thực hiện Quyết định 48/2010/QĐ-TTg của Thủ tướng Chính phủ: Trong tháng đã tiếp nhận 1.855 hồ sơ đề nghị hỗ trợ (1.520 hồ sơ nhiên liệu, 335 hồ sơ bảo hiểm). Luỹ kế từ đầu năm đến nay đã tiếp nhận nhận 3.487 hồ sơ đề nghị hỗ trợ (nhiên liệu 2.589 hồ sơ, bảo hiểm 898 hồ sơ). Tổ chức thẩm định các hồ sơ đề nghị hỗ trợ chi phí nhiên liệu trong đợt 7/2024 gồm 1.452 hồ sơ (trong đó hồ sơ đạt: 1.394 hồ sơ với số tiền 125.450 triệu đồng).</w:t>
      </w:r>
    </w:p>
    <w:p w14:paraId="484FF7A6" w14:textId="77777777" w:rsidR="006B4329" w:rsidRDefault="00D0460A">
      <w:pPr>
        <w:widowControl w:val="0"/>
        <w:spacing w:before="120" w:after="120" w:line="240" w:lineRule="auto"/>
        <w:ind w:leftChars="0" w:left="0" w:firstLineChars="0" w:firstLine="720"/>
        <w:jc w:val="both"/>
        <w:rPr>
          <w:color w:val="000000" w:themeColor="text1"/>
          <w:lang w:val="da-DK"/>
        </w:rPr>
      </w:pPr>
      <w:r>
        <w:rPr>
          <w:i/>
          <w:color w:val="000000" w:themeColor="text1"/>
        </w:rPr>
        <w:t>- Chương trình mục tiêu quốc gia xây dựng nông thôn mới</w:t>
      </w:r>
      <w:r>
        <w:rPr>
          <w:color w:val="000000" w:themeColor="text1"/>
        </w:rPr>
        <w:t xml:space="preserve"> tiếp tục triển khai có hiệu quả. Đã t</w:t>
      </w:r>
      <w:r>
        <w:rPr>
          <w:color w:val="000000" w:themeColor="text1"/>
          <w:lang w:val="da-DK"/>
        </w:rPr>
        <w:t>rình UBND tỉnh công nhận các xã đạt chuẩn nông thôn mới, đạt chuẩn nông thôn mới nâng cao, đạt chuẩn nông thôn mới kiểu mẫu năm 2024 (Đợt 1)</w:t>
      </w:r>
      <w:r>
        <w:rPr>
          <w:color w:val="000000" w:themeColor="text1"/>
          <w:vertAlign w:val="superscript"/>
          <w:lang w:val="vi-VN"/>
        </w:rPr>
        <w:footnoteReference w:id="2"/>
      </w:r>
      <w:r>
        <w:rPr>
          <w:color w:val="000000" w:themeColor="text1"/>
          <w:lang w:val="da-DK"/>
        </w:rPr>
        <w:t>. Tính đến nay, toàn tỉnh hiện có 113 xã thực hiện Chương trình mục tiêu quốc gia thực hiện xây dựng nông thôn mới; trong đó, có 93/113 xã hoàn thành nhiệm vụ nông thôn mới (đạt tỷ lệ 82,3%); 28/93 xã được UBND tỉnh công nhận đạt chuẩn nông thôn mới nâng cao (đạt tỷ lệ 26,3%); 03 xã đạt chuẩn NTM kiểu mẫu, có 07 đơn vị cấp huyện được Thủ tướng Chính phủ công nhận đạt chuẩn/hoàn thành nhiệm vụ NTM (đạt tỷ lệ 63,63%).</w:t>
      </w:r>
    </w:p>
    <w:p w14:paraId="484FF7A7" w14:textId="77777777" w:rsidR="006B4329" w:rsidRDefault="00D0460A">
      <w:pPr>
        <w:widowControl w:val="0"/>
        <w:spacing w:before="120" w:after="120" w:line="240" w:lineRule="auto"/>
        <w:ind w:leftChars="0" w:left="0" w:firstLineChars="0" w:firstLine="720"/>
        <w:jc w:val="both"/>
        <w:rPr>
          <w:color w:val="000000" w:themeColor="text1"/>
        </w:rPr>
      </w:pPr>
      <w:r>
        <w:rPr>
          <w:i/>
          <w:color w:val="000000" w:themeColor="text1"/>
        </w:rPr>
        <w:t xml:space="preserve">- Công tác quản lý đất đai, tài nguyên khoáng sản và bảo vệ môi trường </w:t>
      </w:r>
      <w:r>
        <w:rPr>
          <w:color w:val="000000" w:themeColor="text1"/>
        </w:rPr>
        <w:t>trên địa bàn tỉnh tiếp tục được tăng cường. Các địa phương tiếp tục tăng cường công tác quản lý tài nguyên khoáng sản (đất, đá, cát…), kiểm tra, kịp thời xử lý nghiêm các trường hợp khai thác đất, đá, cát… trái phép hoặc không đúng quy định gây lãng phí tài nguyên, thất thu ngân sách, ô nhiễm môi trường. Tổ chức kiểm tra các khu vực đề nghị đóng cửa mỏ các mỏ vật liệu phục vụ thi công các công trình vốn ngân sách tỉnh và dự án xây dựng đường bộ cao tốc Bắc - Nam; khu vực đăng ký khai thác đá làm vật liệu xây dựng trong phạm vi công trình xây dựng đường bộ cao tốc Bắc - Nam.</w:t>
      </w:r>
    </w:p>
    <w:p w14:paraId="484FF7A8"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 xml:space="preserve">UBND tỉnh tiếp tục chỉ đạo quyết liệt, đồng bộ phương án xử lý vấn đề môi trường trên địa bàn tỉnh, nhất là trong vấn đề thu gom, vận chuyển, xử lý rác, chất thải, nước thải cả trong sản xuất và sinh hoạt; nâng cao chất lượng công tác quản lý đất đai, tài nguyên khoáng sản; đẩy mạnh thực hiện công tác chuyển đổi số trong </w:t>
      </w:r>
      <w:r>
        <w:rPr>
          <w:color w:val="000000" w:themeColor="text1"/>
        </w:rPr>
        <w:lastRenderedPageBreak/>
        <w:t>quản lý đất đai; kiểm tra, xử lý kiên quyết các vụ vi phạm về đất đai, tài nguyên khoáng sản, rừng và đất rừng.</w:t>
      </w:r>
    </w:p>
    <w:p w14:paraId="484FF7A9" w14:textId="77777777" w:rsidR="006B4329" w:rsidRDefault="00D0460A">
      <w:pPr>
        <w:widowControl w:val="0"/>
        <w:spacing w:before="120" w:after="120" w:line="240" w:lineRule="auto"/>
        <w:ind w:leftChars="0" w:left="0" w:firstLineChars="0" w:firstLine="720"/>
        <w:jc w:val="both"/>
        <w:rPr>
          <w:b/>
          <w:color w:val="000000" w:themeColor="text1"/>
        </w:rPr>
      </w:pPr>
      <w:r>
        <w:rPr>
          <w:b/>
          <w:color w:val="000000" w:themeColor="text1"/>
        </w:rPr>
        <w:t>2. Về sản xuất công nghiệp</w:t>
      </w:r>
    </w:p>
    <w:p w14:paraId="496BE726" w14:textId="77777777" w:rsidR="00C978AC" w:rsidRDefault="00D0460A" w:rsidP="00C978AC">
      <w:pPr>
        <w:widowControl w:val="0"/>
        <w:spacing w:before="120" w:after="120" w:line="240" w:lineRule="auto"/>
        <w:ind w:leftChars="0" w:left="0" w:firstLineChars="0" w:firstLine="720"/>
        <w:jc w:val="both"/>
        <w:rPr>
          <w:color w:val="000000" w:themeColor="text1"/>
        </w:rPr>
      </w:pPr>
      <w:r>
        <w:rPr>
          <w:color w:val="000000" w:themeColor="text1"/>
        </w:rPr>
        <w:t>Trong bối cảnh tình hình kinh tế thế giới tiếp tục chịu ảnh hưởng từ các yếu tố như căng thẳng về chính trị, lạm phát cao ở một số nền kinh tế lớn và xu hướng bảo hộ thương mại gia tăng. Tuy nhiên, nhờ các chính sách kích thích kinh tế và sự phục hồi của chuỗi cung ứng, tăng trưởng toàn cầu có dấu hiệu khởi sắc, tạo điều kiện thuận lợi cho hoạt động sản xuất và xuất khẩu. Chỉ số sản xuất công nghiệp</w:t>
      </w:r>
      <w:r>
        <w:rPr>
          <w:i/>
          <w:color w:val="000000" w:themeColor="text1"/>
        </w:rPr>
        <w:t xml:space="preserve"> (IIP)</w:t>
      </w:r>
      <w:r>
        <w:rPr>
          <w:color w:val="000000" w:themeColor="text1"/>
        </w:rPr>
        <w:t xml:space="preserve"> tháng 4 tăng 2,96% so với tháng trước (</w:t>
      </w:r>
      <w:r>
        <w:rPr>
          <w:i/>
          <w:color w:val="000000" w:themeColor="text1"/>
        </w:rPr>
        <w:t>tháng 3/2025</w:t>
      </w:r>
      <w:r>
        <w:rPr>
          <w:color w:val="000000" w:themeColor="text1"/>
        </w:rPr>
        <w:t>) và tăng 8,46% so với cùng kỳ</w:t>
      </w:r>
      <w:r>
        <w:rPr>
          <w:i/>
          <w:color w:val="000000" w:themeColor="text1"/>
        </w:rPr>
        <w:t>.</w:t>
      </w:r>
      <w:r>
        <w:rPr>
          <w:color w:val="000000" w:themeColor="text1"/>
        </w:rPr>
        <w:t xml:space="preserve"> Tính chung 4 tháng đầu năm 2025, chỉ số sản xuất công nghiệp tăng 9,72% so với cùng kỳ nhờ các </w:t>
      </w:r>
      <w:r>
        <w:rPr>
          <w:color w:val="000000" w:themeColor="text1"/>
          <w:lang w:val="nl-NL"/>
        </w:rPr>
        <w:t xml:space="preserve">sản phẩm </w:t>
      </w:r>
      <w:r>
        <w:rPr>
          <w:color w:val="000000" w:themeColor="text1"/>
          <w:lang w:val="da-DK"/>
        </w:rPr>
        <w:t>chủ lực của tỉnh tăng cao</w:t>
      </w:r>
      <w:r>
        <w:rPr>
          <w:color w:val="000000" w:themeColor="text1"/>
        </w:rPr>
        <w:t xml:space="preserve"> như</w:t>
      </w:r>
      <w:r>
        <w:rPr>
          <w:color w:val="000000" w:themeColor="text1"/>
          <w:lang w:val="nl-NL"/>
        </w:rPr>
        <w:t>:</w:t>
      </w:r>
      <w:r>
        <w:rPr>
          <w:iCs/>
          <w:color w:val="000000" w:themeColor="text1"/>
          <w:lang w:val="pt-BR"/>
        </w:rPr>
        <w:t xml:space="preserve"> </w:t>
      </w:r>
      <w:r>
        <w:rPr>
          <w:color w:val="000000" w:themeColor="text1"/>
        </w:rPr>
        <w:t xml:space="preserve">Gạch ốp lát </w:t>
      </w:r>
      <w:r>
        <w:rPr>
          <w:rFonts w:eastAsia="VK Sans Serif"/>
          <w:color w:val="000000" w:themeColor="text1"/>
          <w:lang w:bidi="ar"/>
        </w:rPr>
        <w:t xml:space="preserve">(+373,82%); </w:t>
      </w:r>
      <w:r>
        <w:rPr>
          <w:color w:val="000000" w:themeColor="text1"/>
        </w:rPr>
        <w:t>Cấu kiện thép</w:t>
      </w:r>
      <w:r>
        <w:rPr>
          <w:rFonts w:eastAsia="VK Sans Serif"/>
          <w:color w:val="000000" w:themeColor="text1"/>
          <w:lang w:bidi="ar"/>
        </w:rPr>
        <w:t xml:space="preserve"> (+70,62%); </w:t>
      </w:r>
      <w:r>
        <w:rPr>
          <w:color w:val="000000" w:themeColor="text1"/>
        </w:rPr>
        <w:t>Tấm lợp bằng kim loại</w:t>
      </w:r>
      <w:r>
        <w:rPr>
          <w:rFonts w:eastAsia="VK Sans Serif"/>
          <w:color w:val="000000" w:themeColor="text1"/>
          <w:lang w:bidi="ar"/>
        </w:rPr>
        <w:t xml:space="preserve"> (+32,69%);</w:t>
      </w:r>
      <w:r>
        <w:rPr>
          <w:color w:val="000000" w:themeColor="text1"/>
        </w:rPr>
        <w:t xml:space="preserve"> </w:t>
      </w:r>
      <w:r>
        <w:rPr>
          <w:rFonts w:eastAsia="VK Sans Serif"/>
          <w:color w:val="000000" w:themeColor="text1"/>
          <w:lang w:bidi="ar"/>
        </w:rPr>
        <w:t>Tôm đông lạnh</w:t>
      </w:r>
      <w:r>
        <w:rPr>
          <w:color w:val="000000" w:themeColor="text1"/>
        </w:rPr>
        <w:t xml:space="preserve"> (+31,62%); </w:t>
      </w:r>
      <w:r>
        <w:rPr>
          <w:rFonts w:eastAsia="VK Sans Serif"/>
          <w:color w:val="000000" w:themeColor="text1"/>
          <w:lang w:val="pt-PT" w:bidi="ar"/>
        </w:rPr>
        <w:t>Quần tất, quần áo nịt, bít tất dài, ngắn dệt kim hoặc móc</w:t>
      </w:r>
      <w:r>
        <w:rPr>
          <w:color w:val="000000" w:themeColor="text1"/>
        </w:rPr>
        <w:t xml:space="preserve"> (31,58%);... Ngược lại, một số sản phẩm khác sản lượng giảm so với cùng kỳ do </w:t>
      </w:r>
      <w:r>
        <w:rPr>
          <w:color w:val="000000" w:themeColor="text1"/>
          <w:lang w:val="sv-SE"/>
        </w:rPr>
        <w:t>gặp khó khăn khi nhận đơn hàng, tiêu thụ chậm, khó khăn về nguồn nguyên liệu, ảnh hưởng chính sách thuế quan của Mỹ</w:t>
      </w:r>
      <w:r>
        <w:rPr>
          <w:color w:val="000000" w:themeColor="text1"/>
        </w:rPr>
        <w:t xml:space="preserve"> như: Quặng inmenit và tinh quặng inmenit (-94,51%); </w:t>
      </w:r>
      <w:r>
        <w:rPr>
          <w:rFonts w:eastAsia="VK Sans Serif"/>
          <w:color w:val="000000" w:themeColor="text1"/>
          <w:lang w:bidi="ar"/>
        </w:rPr>
        <w:t>Titan ôxít (-48,09%)</w:t>
      </w:r>
      <w:r>
        <w:rPr>
          <w:color w:val="000000" w:themeColor="text1"/>
        </w:rPr>
        <w:t xml:space="preserve">; Hương cây (-24,39%); </w:t>
      </w:r>
      <w:r>
        <w:rPr>
          <w:rFonts w:eastAsia="VK Sans Serif"/>
          <w:color w:val="000000" w:themeColor="text1"/>
          <w:lang w:bidi="ar"/>
        </w:rPr>
        <w:t>Nước có vị hoa quả</w:t>
      </w:r>
      <w:r>
        <w:rPr>
          <w:color w:val="000000" w:themeColor="text1"/>
        </w:rPr>
        <w:t xml:space="preserve"> (-17,13%);…</w:t>
      </w:r>
    </w:p>
    <w:p w14:paraId="2B422933" w14:textId="77777777" w:rsidR="00C978AC" w:rsidRPr="000B209C" w:rsidRDefault="00C978AC" w:rsidP="00C978AC">
      <w:pPr>
        <w:widowControl w:val="0"/>
        <w:spacing w:before="120" w:after="120" w:line="240" w:lineRule="auto"/>
        <w:ind w:leftChars="0" w:left="0" w:firstLineChars="0" w:firstLine="720"/>
        <w:jc w:val="both"/>
        <w:rPr>
          <w:bCs/>
          <w:iCs/>
          <w:color w:val="000000" w:themeColor="text1"/>
        </w:rPr>
      </w:pPr>
      <w:r w:rsidRPr="000B209C">
        <w:rPr>
          <w:bCs/>
          <w:iCs/>
        </w:rPr>
        <w:t>Tình hình sản xuất ở một số ngành chủ yếu của tỉnh:</w:t>
      </w:r>
    </w:p>
    <w:p w14:paraId="29BCB55C" w14:textId="77777777" w:rsidR="00C978AC" w:rsidRDefault="00C978AC" w:rsidP="00C978AC">
      <w:pPr>
        <w:widowControl w:val="0"/>
        <w:spacing w:before="120" w:after="120" w:line="240" w:lineRule="auto"/>
        <w:ind w:leftChars="0" w:left="0" w:firstLineChars="0" w:firstLine="720"/>
        <w:jc w:val="both"/>
        <w:rPr>
          <w:color w:val="000000" w:themeColor="text1"/>
        </w:rPr>
      </w:pPr>
      <w:r w:rsidRPr="00F41FAE">
        <w:t>- Ngành chế biến thực phẩm tăng 8,85% do một số sản phẩm tiêu thụ nội địa</w:t>
      </w:r>
      <w:r w:rsidRPr="008134DE">
        <w:rPr>
          <w:color w:val="00B050"/>
        </w:rPr>
        <w:t xml:space="preserve"> </w:t>
      </w:r>
      <w:r w:rsidRPr="00F41FAE">
        <w:t xml:space="preserve">tăng như: </w:t>
      </w:r>
      <w:r w:rsidRPr="00F41FAE">
        <w:rPr>
          <w:lang w:val="nl-NL"/>
        </w:rPr>
        <w:t xml:space="preserve">thức ăn gia súc tăng 7,18%, thức ăn gia cầm tăng 10,06% do sự gia nhập thị trường của các doanh nghiệp mới, đã thúc đẩy sản xuất và cung cấp thức ăn cho ngành chăn nuôi. </w:t>
      </w:r>
      <w:r w:rsidRPr="00F41FAE">
        <w:t>Nhóm sản phẩm thủy sản có xu hướng phục hồi tốt do bổ sung thêm 1 doanh nghiệp mới chế biến tôm đông lạnh, góp phần thúc đẩy sản lượng tôm đông lạnh tăng 70,79% so cùng kỳ, Phi lê cá tăng 4,73% do thị trường ổn định trở lại. Riêng, sản phẩm sữa và kem giảm 16,42% do Tổng công ty Vinamilk phân bổ chỉ tiêu sản lượng cho nhà máy của Vinamilk chi nhánh Bình Định thấp.</w:t>
      </w:r>
    </w:p>
    <w:p w14:paraId="7C016FCE" w14:textId="77777777" w:rsidR="00C978AC" w:rsidRDefault="00C978AC" w:rsidP="00C978AC">
      <w:pPr>
        <w:widowControl w:val="0"/>
        <w:spacing w:before="120" w:after="120" w:line="240" w:lineRule="auto"/>
        <w:ind w:leftChars="0" w:left="0" w:firstLineChars="0" w:firstLine="720"/>
        <w:jc w:val="both"/>
        <w:rPr>
          <w:color w:val="000000" w:themeColor="text1"/>
        </w:rPr>
      </w:pPr>
      <w:r w:rsidRPr="00F41FAE">
        <w:t>- Sản xuất đồ uống giảm 4,92% do tác động từ sản lượng bia đóng chai giảm 11,31%. Nguyên nhân do thời tiết mưa lạnh kéo dài và tâm lý hạn chế sử dụng rượu bia của người dân. Ngoài ra, sản lượng một số sản phẩm khác giảm so cùng kỳ như nước khoáng không có ga giảm 8,19%, nước có vị hoa quả giảm 17,13%. Riêng nước yến và nước bổ dưỡng khác tăng 17,15% do doanh nghiệp chủ động mở rộng thị trường tiêu thụ sản phẩm.</w:t>
      </w:r>
    </w:p>
    <w:p w14:paraId="256825E7" w14:textId="77777777" w:rsidR="00C978AC" w:rsidRDefault="00C978AC" w:rsidP="00C978AC">
      <w:pPr>
        <w:widowControl w:val="0"/>
        <w:spacing w:before="120" w:after="120" w:line="240" w:lineRule="auto"/>
        <w:ind w:leftChars="0" w:left="0" w:firstLineChars="0" w:firstLine="720"/>
        <w:jc w:val="both"/>
        <w:rPr>
          <w:color w:val="000000" w:themeColor="text1"/>
        </w:rPr>
      </w:pPr>
      <w:r w:rsidRPr="00BE3025">
        <w:t xml:space="preserve">- Ngành </w:t>
      </w:r>
      <w:r w:rsidRPr="003C1A7A">
        <w:rPr>
          <w:rStyle w:val="Strong"/>
          <w:b w:val="0"/>
        </w:rPr>
        <w:t>sản xuất trang phục</w:t>
      </w:r>
      <w:r w:rsidRPr="00BE3025">
        <w:t xml:space="preserve"> tăng 8,75%, phản ánh sự ổn định và phát triển của ngành may mặc trong tỉnh. Sự phát triển của ngành sản xuất trang phục không chỉ tạo ra nhiều cơ hội việc làm cho người lao động mà còn giúp kinh tế địa phương tăng trưởng.</w:t>
      </w:r>
    </w:p>
    <w:p w14:paraId="31F4CF48" w14:textId="77777777" w:rsidR="00C978AC" w:rsidRDefault="00C978AC" w:rsidP="00C978AC">
      <w:pPr>
        <w:widowControl w:val="0"/>
        <w:spacing w:before="120" w:after="120" w:line="240" w:lineRule="auto"/>
        <w:ind w:leftChars="0" w:left="0" w:firstLineChars="0" w:firstLine="720"/>
        <w:jc w:val="both"/>
        <w:rPr>
          <w:color w:val="000000" w:themeColor="text1"/>
        </w:rPr>
      </w:pPr>
      <w:r w:rsidRPr="00BE3025">
        <w:t xml:space="preserve">- </w:t>
      </w:r>
      <w:r w:rsidRPr="00BE3025">
        <w:rPr>
          <w:lang w:val="nl-NL"/>
        </w:rPr>
        <w:t>Sản xuất sản phẩm từ khoáng phi kim loại khác tăng 31,16%, chủ yếu do sản phẩm gạch ốp lát tăng rất mạnh (+373,82%). Trong</w:t>
      </w:r>
      <w:r w:rsidRPr="00BE3025">
        <w:rPr>
          <w:spacing w:val="3"/>
          <w:shd w:val="clear" w:color="auto" w:fill="FFFFFF"/>
        </w:rPr>
        <w:t xml:space="preserve"> </w:t>
      </w:r>
      <w:r w:rsidRPr="00BE3025">
        <w:t>tháng 1/2025, dự án xây dựng nhà máy sản xuất gạch ốp lát granite của Công ty CP Công nghiệp Kamado có công suất 18 triệu m</w:t>
      </w:r>
      <w:r w:rsidRPr="00BE3025">
        <w:rPr>
          <w:vertAlign w:val="superscript"/>
        </w:rPr>
        <w:t>2</w:t>
      </w:r>
      <w:r w:rsidRPr="00BE3025">
        <w:t>/năm, với quy mô diện tích 22 ha, tổng vốn đầu tư 1.000 tỷ đồng chính thức đi vào hoạt động góp phần thúc đẩy ngành khoáng phi kim loại tăng cao.</w:t>
      </w:r>
    </w:p>
    <w:p w14:paraId="41CD0F6B" w14:textId="77777777" w:rsidR="00C978AC" w:rsidRDefault="00C978AC" w:rsidP="00C978AC">
      <w:pPr>
        <w:widowControl w:val="0"/>
        <w:spacing w:before="120" w:after="120" w:line="240" w:lineRule="auto"/>
        <w:ind w:leftChars="0" w:left="0" w:firstLineChars="0" w:firstLine="720"/>
        <w:jc w:val="both"/>
        <w:rPr>
          <w:color w:val="000000" w:themeColor="text1"/>
        </w:rPr>
      </w:pPr>
      <w:r w:rsidRPr="00BE3025">
        <w:lastRenderedPageBreak/>
        <w:t xml:space="preserve">- </w:t>
      </w:r>
      <w:r w:rsidRPr="00BE3025">
        <w:rPr>
          <w:lang w:val="nl-NL"/>
        </w:rPr>
        <w:t xml:space="preserve">Sản xuất sản phẩm từ kim loại đúc sẵn tăng cao 32,79%; trong đó, tăng cao nhất là sản phẩm cấu kiện thép tăng 70,62%; tấm lợp kim loại tăng 32,69%. Đà tăng trưởng trên chủ yếu do nhu </w:t>
      </w:r>
      <w:r w:rsidRPr="00BE3025">
        <w:t>cầu tiêu thụ đang hồi phục trở lại, nhất là thị trường xuất khẩu tăng trưởng mạnh, do đó doanh nghiệp đẩy mạnh sản xuất để giảm tồn kho nguyên liệu.</w:t>
      </w:r>
    </w:p>
    <w:p w14:paraId="129B8F9E" w14:textId="50C572AC" w:rsidR="00C978AC" w:rsidRDefault="00C978AC" w:rsidP="00C978AC">
      <w:pPr>
        <w:widowControl w:val="0"/>
        <w:spacing w:before="120" w:after="120" w:line="240" w:lineRule="auto"/>
        <w:ind w:leftChars="0" w:left="0" w:firstLineChars="0" w:firstLine="720"/>
        <w:jc w:val="both"/>
        <w:rPr>
          <w:color w:val="000000" w:themeColor="text1"/>
        </w:rPr>
      </w:pPr>
      <w:r w:rsidRPr="00BE3025">
        <w:t>- Sản xuất giường, tủ, bàn, ghế tăng 3,85% so cùng kỳ và có xu hướng tăng chậm so với các tháng cuối năm 2024 và đầu năm 2025. Hiện nay, tại các thị trường lớn như Mỹ, EU, Anh vẫn đang</w:t>
      </w:r>
      <w:r>
        <w:t xml:space="preserve"> chịu tác động lớn của lạm phát, lãi suất cao, chính sách thắt chặt tiền tệ,… đồng thời biến động thị trường toàn cầu do áp lực từ hàng rào thương mại và yêu cầu truy xuất nguồn gốc xuất xứ đang ảnh hưởng lớn đến ngành gỗ xuất khẩu.</w:t>
      </w:r>
    </w:p>
    <w:p w14:paraId="484FF7AB"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Các Khu, cụm công nghiệp trên địa bàn tỉnh tiếp tục kêu gọi thu hút đầu tư, xây dựng nhà xưởng và hạ tầng kỹ thuật phục vụ sản xuất, kinh doanh tạo việc làm, tăng thu nhập và an sinh xã hội.</w:t>
      </w:r>
    </w:p>
    <w:p w14:paraId="484FF7AC"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Các chương trình khuyến công, tư vấn phát triển công nghiệp tiếp tục được quan tâm triển khai thực hiện. Hoạt động sản xuất tiểu thủ công nghiệp và làng nghề tiếp tục phát triển ổn định. Các sản phẩm của các làng nghề đã đáp ứng phần lớn nhu cầu tiêu dùng của người dân trong tỉnh.</w:t>
      </w:r>
    </w:p>
    <w:p w14:paraId="484FF7AD" w14:textId="77777777" w:rsidR="006B4329" w:rsidRDefault="00D0460A">
      <w:pPr>
        <w:widowControl w:val="0"/>
        <w:spacing w:before="120" w:after="120" w:line="240" w:lineRule="auto"/>
        <w:ind w:leftChars="0" w:left="0" w:firstLineChars="0" w:firstLine="720"/>
        <w:jc w:val="both"/>
        <w:rPr>
          <w:b/>
          <w:color w:val="000000" w:themeColor="text1"/>
        </w:rPr>
      </w:pPr>
      <w:r>
        <w:rPr>
          <w:b/>
          <w:color w:val="000000" w:themeColor="text1"/>
        </w:rPr>
        <w:t>3. Về thương mại, dịch vụ, tài chính</w:t>
      </w:r>
    </w:p>
    <w:p w14:paraId="484FF7AE"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 xml:space="preserve">Trong tháng 4, tình hình thị trường hàng hóa trên địa bàn tỉnh </w:t>
      </w:r>
      <w:r>
        <w:rPr>
          <w:color w:val="000000" w:themeColor="text1"/>
          <w:lang w:val="nl-NL"/>
        </w:rPr>
        <w:t>tiếp tục được duy trì ổn định, lưu thông thông suốt, n</w:t>
      </w:r>
      <w:r>
        <w:rPr>
          <w:color w:val="000000" w:themeColor="text1"/>
        </w:rPr>
        <w:t xml:space="preserve">hiều doanh nghiệp, các trung tâm thương mại, siêu thị, cửa hàng bán lẻ đã tổ chức nhiều chương trình khuyến mãi hấp dẫn, giá cả hợp lý </w:t>
      </w:r>
      <w:r>
        <w:rPr>
          <w:color w:val="000000" w:themeColor="text1"/>
          <w:lang w:val="vi-VN"/>
        </w:rPr>
        <w:t xml:space="preserve">với nhiều loại mặt hàng giảm giá nhằm kích cầu tiêu dùng cho dịp lễ Giỗ Tổ Hùng Vương (mùng 10/3 </w:t>
      </w:r>
      <w:r>
        <w:rPr>
          <w:color w:val="000000" w:themeColor="text1"/>
        </w:rPr>
        <w:t>Â</w:t>
      </w:r>
      <w:r>
        <w:rPr>
          <w:color w:val="000000" w:themeColor="text1"/>
          <w:lang w:val="vi-VN"/>
        </w:rPr>
        <w:t xml:space="preserve">m lịch) và ngày Chiến thắng 30/4, ngày Quốc tế lao động </w:t>
      </w:r>
      <w:r>
        <w:rPr>
          <w:color w:val="000000" w:themeColor="text1"/>
        </w:rPr>
        <w:t>0</w:t>
      </w:r>
      <w:r>
        <w:rPr>
          <w:color w:val="000000" w:themeColor="text1"/>
          <w:lang w:val="vi-VN"/>
        </w:rPr>
        <w:t>1/5/202</w:t>
      </w:r>
      <w:r>
        <w:rPr>
          <w:color w:val="000000" w:themeColor="text1"/>
        </w:rPr>
        <w:t>5</w:t>
      </w:r>
      <w:r>
        <w:rPr>
          <w:color w:val="000000" w:themeColor="text1"/>
          <w:lang w:val="vi-VN"/>
        </w:rPr>
        <w:t>.</w:t>
      </w:r>
      <w:r>
        <w:rPr>
          <w:color w:val="000000" w:themeColor="text1"/>
        </w:rPr>
        <w:t xml:space="preserve"> </w:t>
      </w:r>
      <w:r>
        <w:rPr>
          <w:color w:val="000000" w:themeColor="text1"/>
          <w:lang w:val="vi-VN"/>
        </w:rPr>
        <w:t>Nhìn chung</w:t>
      </w:r>
      <w:r>
        <w:rPr>
          <w:color w:val="000000" w:themeColor="text1"/>
        </w:rPr>
        <w:t>,</w:t>
      </w:r>
      <w:r>
        <w:rPr>
          <w:color w:val="000000" w:themeColor="text1"/>
          <w:lang w:val="vi-VN"/>
        </w:rPr>
        <w:t xml:space="preserve"> số lượng hàng hóa các mặt hàng lương thực, thực phẩm, nhu yếu phẩm, nước uống, nhiên liệu tại các doanh nghiệp, nhà phân phối trên địa bàn tỉnh dự trữ với số lượng lớn, nguồn cung dồi dào đa dạng đảm bảo đáp ứng phục vụ tiêu dùng cho nhân dân và khả năng huy động khi cần thiết, không để xảy ra tình trạng khan hiếm hàng hóa, tăng giá cục bộ gây bất ổn thị trường.</w:t>
      </w:r>
    </w:p>
    <w:p w14:paraId="484FF7AF"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 xml:space="preserve">Tổng mức bán lẻ hàng hóa và doanh thu dịch vụ tiêu dùng tháng 4 ước đạt 10.588,6 tỷ đồng, tăng 7,9% so với cùng kỳ. Tính chung 4 tháng đầu năm, tổng mức bán lẻ hàng hóa và doanh thu dịch vụ ước đạt 40.271,8 tỷ đồng, tăng 8,1% so với cùng kỳ và đạt 31,8% kế hoạch năm </w:t>
      </w:r>
      <w:r>
        <w:rPr>
          <w:color w:val="000000" w:themeColor="text1"/>
          <w:lang w:val="vi-VN"/>
        </w:rPr>
        <w:t>(</w:t>
      </w:r>
      <w:r>
        <w:rPr>
          <w:color w:val="000000" w:themeColor="text1"/>
        </w:rPr>
        <w:t>126.600</w:t>
      </w:r>
      <w:r>
        <w:rPr>
          <w:color w:val="000000" w:themeColor="text1"/>
          <w:lang w:val="vi-VN"/>
        </w:rPr>
        <w:t xml:space="preserve"> tỷ đồng)</w:t>
      </w:r>
      <w:r>
        <w:rPr>
          <w:color w:val="000000" w:themeColor="text1"/>
        </w:rPr>
        <w:t>. Xét theo ngành kinh doanh, doanh thu bán lẻ hàng hóa tháng 4 ước đạt 7.954 tỷ đồng, tăng 5,9% so với cùng kỳ; dịch vụ lưu trú, ăn uống ước đạt 1.614 tỷ đồng, tăng 13,5% so với cùng kỳ; dịch vụ lữ hành ước đạt 94 tỷ đồng, tăng 12,3%; hoạt động dịch vụ tiêu dùng khác ước đạt 926 tỷ đồng, tăng 15,9% so với cùng kỳ.</w:t>
      </w:r>
    </w:p>
    <w:p w14:paraId="484FF7B0"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 xml:space="preserve">Kim ngạch xuất khẩu tháng 4 ước đạt 161,4 triệu USD, giảm 2,6% so với cùng kỳ (nguyên nhân là do nước Mỹ ban hành chính sách thuế quan mới áp dụng lên hầu hết các mặt hàng nhập khẩu vào thị trường Mỹ đã gây ra những tác động đối với hoạt động của các doanh nghiệp sản xuất, kinh doanh xuất khẩu trên địa bàn tỉnh). Tính chung 4 tháng đầu năm, kim ngạch hàng hóa xuất khẩu ước đạt 616,6 triệu </w:t>
      </w:r>
      <w:r>
        <w:rPr>
          <w:color w:val="000000" w:themeColor="text1"/>
        </w:rPr>
        <w:lastRenderedPageBreak/>
        <w:t xml:space="preserve">USD, tăng 5,7% so với cùng kỳ và đạt 36,1% kế hoạch năm </w:t>
      </w:r>
      <w:r>
        <w:rPr>
          <w:bCs/>
          <w:color w:val="000000" w:themeColor="text1"/>
          <w:lang w:val="vi-VN"/>
        </w:rPr>
        <w:t>(</w:t>
      </w:r>
      <w:r>
        <w:rPr>
          <w:bCs/>
          <w:color w:val="000000" w:themeColor="text1"/>
        </w:rPr>
        <w:t>1.710</w:t>
      </w:r>
      <w:r>
        <w:rPr>
          <w:bCs/>
          <w:color w:val="000000" w:themeColor="text1"/>
          <w:lang w:val="vi-VN"/>
        </w:rPr>
        <w:t xml:space="preserve"> triệu USD)</w:t>
      </w:r>
      <w:r>
        <w:rPr>
          <w:color w:val="000000" w:themeColor="text1"/>
        </w:rPr>
        <w:t>. Một số sản phẩm có kim ngạch xuất khẩu tăng so với cùng kỳ như: Hàng thủy sản tăng 44,5%; Hàng dệt, may tăng 33,2%; Gạo tăng 7%;... Một số mặt hàng giảm so với cùng kỳ như: Gỗ giảm 18,6%; Sản phẩm gỗ giảm 5,9%; Sắn và các sản phẩm từ sắn giảm 8%;...</w:t>
      </w:r>
    </w:p>
    <w:p w14:paraId="484FF7B1"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Kim ngạch nhập khẩu tháng 4 ước đạt 34,3 triệu USD, giảm 4% so với cùng kỳ. Tính chung 4 tháng đầu năm 2025, kim ngạch hàng hóa nhập khẩu ước đạt 149,5 triệu USD, tăng 20,7% so với cùng kỳ.</w:t>
      </w:r>
    </w:p>
    <w:p w14:paraId="484FF7B2" w14:textId="77777777" w:rsidR="006B4329" w:rsidRDefault="00D0460A">
      <w:pPr>
        <w:widowControl w:val="0"/>
        <w:spacing w:before="120" w:after="120" w:line="240" w:lineRule="auto"/>
        <w:ind w:leftChars="0" w:left="0" w:firstLineChars="0" w:firstLine="720"/>
        <w:jc w:val="both"/>
        <w:rPr>
          <w:iCs/>
          <w:color w:val="000000" w:themeColor="text1"/>
        </w:rPr>
      </w:pPr>
      <w:r>
        <w:rPr>
          <w:color w:val="000000" w:themeColor="text1"/>
        </w:rPr>
        <w:t>Về du lịch: Trong tháng 4 có các ngày Lễ lớn của đất nước như: giỗ Tổ Hùng Vương, Ngày Chiến thắng 30/4 và Quốc tế lao động 1/5 nên nhu cầu đi lại của người dân tăng cao. Để đảm bảo việc đi lại của nhân dân, tại các bến xe trong tỉnh, các cơ quan chức năng có liên quan đã chủ động các phương án điều hành sát với diễn biến thực tế, đảm bảo tốt an ninh trật tự; đồng thời, phối hợp chặt chẽ với lực lượng chức năng, tăng cường kiểm tra, giám sát, siết chặt kỷ cương trong việc thực hiện các quy định, thể lệ vận tải và đảm bảo chất lượng phục vụ hành khách. Việc giá xăng, dầu có sự biến động cũng như giá cước hành khách dự kiến sẽ tăng trong những ngày nghỉ Lễ, góp phần tăng doanh thu ngành vận tải, kho bãi. Trong tháng 4/2025, l</w:t>
      </w:r>
      <w:r>
        <w:rPr>
          <w:rFonts w:cs="Cambria"/>
          <w:color w:val="000000" w:themeColor="text1"/>
        </w:rPr>
        <w:t>ượ</w:t>
      </w:r>
      <w:r>
        <w:rPr>
          <w:color w:val="000000" w:themeColor="text1"/>
        </w:rPr>
        <w:t>ng kh</w:t>
      </w:r>
      <w:r>
        <w:rPr>
          <w:rFonts w:cs="VNI-Times"/>
          <w:color w:val="000000" w:themeColor="text1"/>
        </w:rPr>
        <w:t>á</w:t>
      </w:r>
      <w:r>
        <w:rPr>
          <w:color w:val="000000" w:themeColor="text1"/>
        </w:rPr>
        <w:t>ch tham quan, du l</w:t>
      </w:r>
      <w:r>
        <w:rPr>
          <w:rFonts w:cs="Cambria"/>
          <w:color w:val="000000" w:themeColor="text1"/>
        </w:rPr>
        <w:t>ị</w:t>
      </w:r>
      <w:r>
        <w:rPr>
          <w:color w:val="000000" w:themeColor="text1"/>
        </w:rPr>
        <w:t xml:space="preserve">ch </w:t>
      </w:r>
      <w:r>
        <w:rPr>
          <w:rFonts w:hint="eastAsia"/>
          <w:color w:val="000000" w:themeColor="text1"/>
        </w:rPr>
        <w:t>đ</w:t>
      </w:r>
      <w:r>
        <w:rPr>
          <w:rFonts w:cs="Cambria"/>
          <w:color w:val="000000" w:themeColor="text1"/>
        </w:rPr>
        <w:t>ế</w:t>
      </w:r>
      <w:r>
        <w:rPr>
          <w:color w:val="000000" w:themeColor="text1"/>
        </w:rPr>
        <w:t>n B</w:t>
      </w:r>
      <w:r>
        <w:rPr>
          <w:rFonts w:cs="VNI-Times"/>
          <w:color w:val="000000" w:themeColor="text1"/>
        </w:rPr>
        <w:t>ì</w:t>
      </w:r>
      <w:r>
        <w:rPr>
          <w:color w:val="000000" w:themeColor="text1"/>
        </w:rPr>
        <w:t xml:space="preserve">nh </w:t>
      </w:r>
      <w:r>
        <w:rPr>
          <w:rFonts w:cs="Cambria"/>
          <w:color w:val="000000" w:themeColor="text1"/>
        </w:rPr>
        <w:t>Đị</w:t>
      </w:r>
      <w:r>
        <w:rPr>
          <w:color w:val="000000" w:themeColor="text1"/>
        </w:rPr>
        <w:t xml:space="preserve">nh </w:t>
      </w:r>
      <w:r>
        <w:rPr>
          <w:rFonts w:cs="Cambria"/>
          <w:color w:val="000000" w:themeColor="text1"/>
        </w:rPr>
        <w:t>ướ</w:t>
      </w:r>
      <w:r>
        <w:rPr>
          <w:color w:val="000000" w:themeColor="text1"/>
        </w:rPr>
        <w:t xml:space="preserve">c </w:t>
      </w:r>
      <w:r>
        <w:rPr>
          <w:rFonts w:hint="eastAsia"/>
          <w:color w:val="000000" w:themeColor="text1"/>
        </w:rPr>
        <w:t>đ</w:t>
      </w:r>
      <w:r>
        <w:rPr>
          <w:rFonts w:cs="Cambria"/>
          <w:color w:val="000000" w:themeColor="text1"/>
        </w:rPr>
        <w:t>ạ</w:t>
      </w:r>
      <w:r>
        <w:rPr>
          <w:color w:val="000000" w:themeColor="text1"/>
        </w:rPr>
        <w:t>t 999.370 l</w:t>
      </w:r>
      <w:r>
        <w:rPr>
          <w:rFonts w:cs="Cambria"/>
          <w:color w:val="000000" w:themeColor="text1"/>
        </w:rPr>
        <w:t>ượ</w:t>
      </w:r>
      <w:r>
        <w:rPr>
          <w:color w:val="000000" w:themeColor="text1"/>
        </w:rPr>
        <w:t>t t</w:t>
      </w:r>
      <w:r>
        <w:rPr>
          <w:rFonts w:cs="Cambria"/>
          <w:color w:val="000000" w:themeColor="text1"/>
        </w:rPr>
        <w:t>ă</w:t>
      </w:r>
      <w:r>
        <w:rPr>
          <w:color w:val="000000" w:themeColor="text1"/>
        </w:rPr>
        <w:t>ng 12,1% so v</w:t>
      </w:r>
      <w:r>
        <w:rPr>
          <w:rFonts w:cs="Cambria"/>
          <w:color w:val="000000" w:themeColor="text1"/>
        </w:rPr>
        <w:t>ớ</w:t>
      </w:r>
      <w:r>
        <w:rPr>
          <w:color w:val="000000" w:themeColor="text1"/>
        </w:rPr>
        <w:t>i c</w:t>
      </w:r>
      <w:r>
        <w:rPr>
          <w:rFonts w:cs="VNI-Times"/>
          <w:color w:val="000000" w:themeColor="text1"/>
        </w:rPr>
        <w:t>ù</w:t>
      </w:r>
      <w:r>
        <w:rPr>
          <w:color w:val="000000" w:themeColor="text1"/>
        </w:rPr>
        <w:t>ng k</w:t>
      </w:r>
      <w:r>
        <w:rPr>
          <w:rFonts w:cs="Cambria"/>
          <w:color w:val="000000" w:themeColor="text1"/>
        </w:rPr>
        <w:t>ỳ</w:t>
      </w:r>
      <w:r>
        <w:rPr>
          <w:color w:val="000000" w:themeColor="text1"/>
        </w:rPr>
        <w:t xml:space="preserve"> n</w:t>
      </w:r>
      <w:r>
        <w:rPr>
          <w:rFonts w:cs="Cambria"/>
          <w:color w:val="000000" w:themeColor="text1"/>
        </w:rPr>
        <w:t>ă</w:t>
      </w:r>
      <w:r>
        <w:rPr>
          <w:color w:val="000000" w:themeColor="text1"/>
        </w:rPr>
        <w:t xml:space="preserve">m 2024 </w:t>
      </w:r>
      <w:r>
        <w:rPr>
          <w:i/>
          <w:color w:val="000000" w:themeColor="text1"/>
        </w:rPr>
        <w:t>(tháng 4/2024: 891.500 l</w:t>
      </w:r>
      <w:r>
        <w:rPr>
          <w:rFonts w:cs="Cambria"/>
          <w:i/>
          <w:color w:val="000000" w:themeColor="text1"/>
        </w:rPr>
        <w:t>ượ</w:t>
      </w:r>
      <w:r>
        <w:rPr>
          <w:i/>
          <w:color w:val="000000" w:themeColor="text1"/>
        </w:rPr>
        <w:t>t)</w:t>
      </w:r>
      <w:r>
        <w:rPr>
          <w:color w:val="000000" w:themeColor="text1"/>
        </w:rPr>
        <w:t xml:space="preserve">; </w:t>
      </w:r>
      <w:r>
        <w:rPr>
          <w:iCs/>
          <w:color w:val="000000" w:themeColor="text1"/>
        </w:rPr>
        <w:t xml:space="preserve">trong </w:t>
      </w:r>
      <w:r>
        <w:rPr>
          <w:rFonts w:hint="eastAsia"/>
          <w:iCs/>
          <w:color w:val="000000" w:themeColor="text1"/>
        </w:rPr>
        <w:t>đó</w:t>
      </w:r>
      <w:r>
        <w:rPr>
          <w:iCs/>
          <w:color w:val="000000" w:themeColor="text1"/>
        </w:rPr>
        <w:t>: khách qu</w:t>
      </w:r>
      <w:r>
        <w:rPr>
          <w:rFonts w:cs="Cambria"/>
          <w:iCs/>
          <w:color w:val="000000" w:themeColor="text1"/>
        </w:rPr>
        <w:t>ố</w:t>
      </w:r>
      <w:r>
        <w:rPr>
          <w:iCs/>
          <w:color w:val="000000" w:themeColor="text1"/>
        </w:rPr>
        <w:t>c t</w:t>
      </w:r>
      <w:r>
        <w:rPr>
          <w:rFonts w:cs="Cambria"/>
          <w:iCs/>
          <w:color w:val="000000" w:themeColor="text1"/>
        </w:rPr>
        <w:t>ế</w:t>
      </w:r>
      <w:r>
        <w:rPr>
          <w:iCs/>
          <w:color w:val="000000" w:themeColor="text1"/>
        </w:rPr>
        <w:t xml:space="preserve"> </w:t>
      </w:r>
      <w:r>
        <w:rPr>
          <w:rFonts w:hint="eastAsia"/>
          <w:iCs/>
          <w:color w:val="000000" w:themeColor="text1"/>
        </w:rPr>
        <w:t>đ</w:t>
      </w:r>
      <w:r>
        <w:rPr>
          <w:rFonts w:cs="Cambria"/>
          <w:iCs/>
          <w:color w:val="000000" w:themeColor="text1"/>
        </w:rPr>
        <w:t>ạ</w:t>
      </w:r>
      <w:r>
        <w:rPr>
          <w:iCs/>
          <w:color w:val="000000" w:themeColor="text1"/>
        </w:rPr>
        <w:t>t 10.843 l</w:t>
      </w:r>
      <w:r>
        <w:rPr>
          <w:rFonts w:cs="Cambria"/>
          <w:iCs/>
          <w:color w:val="000000" w:themeColor="text1"/>
        </w:rPr>
        <w:t>ượ</w:t>
      </w:r>
      <w:r>
        <w:rPr>
          <w:iCs/>
          <w:color w:val="000000" w:themeColor="text1"/>
        </w:rPr>
        <w:t>t kh</w:t>
      </w:r>
      <w:r>
        <w:rPr>
          <w:rFonts w:cs="VNI-Times"/>
          <w:iCs/>
          <w:color w:val="000000" w:themeColor="text1"/>
        </w:rPr>
        <w:t>á</w:t>
      </w:r>
      <w:r>
        <w:rPr>
          <w:iCs/>
          <w:color w:val="000000" w:themeColor="text1"/>
        </w:rPr>
        <w:t xml:space="preserve">ch, trong </w:t>
      </w:r>
      <w:r>
        <w:rPr>
          <w:rFonts w:hint="eastAsia"/>
          <w:iCs/>
          <w:color w:val="000000" w:themeColor="text1"/>
        </w:rPr>
        <w:t>đó</w:t>
      </w:r>
      <w:r>
        <w:rPr>
          <w:iCs/>
          <w:color w:val="000000" w:themeColor="text1"/>
        </w:rPr>
        <w:t>, khách l</w:t>
      </w:r>
      <w:r>
        <w:rPr>
          <w:rFonts w:cs="Cambria"/>
          <w:iCs/>
          <w:color w:val="000000" w:themeColor="text1"/>
        </w:rPr>
        <w:t>ư</w:t>
      </w:r>
      <w:r>
        <w:rPr>
          <w:iCs/>
          <w:color w:val="000000" w:themeColor="text1"/>
        </w:rPr>
        <w:t xml:space="preserve">u trú qua </w:t>
      </w:r>
      <w:r>
        <w:rPr>
          <w:rFonts w:hint="eastAsia"/>
          <w:iCs/>
          <w:color w:val="000000" w:themeColor="text1"/>
        </w:rPr>
        <w:t>đê</w:t>
      </w:r>
      <w:r>
        <w:rPr>
          <w:iCs/>
          <w:color w:val="000000" w:themeColor="text1"/>
        </w:rPr>
        <w:t>m t</w:t>
      </w:r>
      <w:r>
        <w:rPr>
          <w:rFonts w:cs="Cambria"/>
          <w:iCs/>
          <w:color w:val="000000" w:themeColor="text1"/>
        </w:rPr>
        <w:t>ạ</w:t>
      </w:r>
      <w:r>
        <w:rPr>
          <w:iCs/>
          <w:color w:val="000000" w:themeColor="text1"/>
        </w:rPr>
        <w:t>i c</w:t>
      </w:r>
      <w:r>
        <w:rPr>
          <w:rFonts w:cs="VNI-Times"/>
          <w:iCs/>
          <w:color w:val="000000" w:themeColor="text1"/>
        </w:rPr>
        <w:t>á</w:t>
      </w:r>
      <w:r>
        <w:rPr>
          <w:iCs/>
          <w:color w:val="000000" w:themeColor="text1"/>
        </w:rPr>
        <w:t>c kh</w:t>
      </w:r>
      <w:r>
        <w:rPr>
          <w:rFonts w:cs="VNI-Times"/>
          <w:iCs/>
          <w:color w:val="000000" w:themeColor="text1"/>
        </w:rPr>
        <w:t>á</w:t>
      </w:r>
      <w:r>
        <w:rPr>
          <w:iCs/>
          <w:color w:val="000000" w:themeColor="text1"/>
        </w:rPr>
        <w:t>ch s</w:t>
      </w:r>
      <w:r>
        <w:rPr>
          <w:rFonts w:cs="Cambria"/>
          <w:iCs/>
          <w:color w:val="000000" w:themeColor="text1"/>
        </w:rPr>
        <w:t>ạ</w:t>
      </w:r>
      <w:r>
        <w:rPr>
          <w:iCs/>
          <w:color w:val="000000" w:themeColor="text1"/>
        </w:rPr>
        <w:t xml:space="preserve">n </w:t>
      </w:r>
      <w:r>
        <w:rPr>
          <w:rFonts w:hint="eastAsia"/>
          <w:iCs/>
          <w:color w:val="000000" w:themeColor="text1"/>
        </w:rPr>
        <w:t>đ</w:t>
      </w:r>
      <w:r>
        <w:rPr>
          <w:rFonts w:cs="Cambria"/>
          <w:iCs/>
          <w:color w:val="000000" w:themeColor="text1"/>
        </w:rPr>
        <w:t>ạ</w:t>
      </w:r>
      <w:r>
        <w:rPr>
          <w:iCs/>
          <w:color w:val="000000" w:themeColor="text1"/>
        </w:rPr>
        <w:t>t 7.478 l</w:t>
      </w:r>
      <w:r>
        <w:rPr>
          <w:rFonts w:cs="Cambria"/>
          <w:iCs/>
          <w:color w:val="000000" w:themeColor="text1"/>
        </w:rPr>
        <w:t>ượ</w:t>
      </w:r>
      <w:r>
        <w:rPr>
          <w:iCs/>
          <w:color w:val="000000" w:themeColor="text1"/>
        </w:rPr>
        <w:t>t; kh</w:t>
      </w:r>
      <w:r>
        <w:rPr>
          <w:rFonts w:cs="VNI-Times"/>
          <w:iCs/>
          <w:color w:val="000000" w:themeColor="text1"/>
        </w:rPr>
        <w:t>á</w:t>
      </w:r>
      <w:r>
        <w:rPr>
          <w:iCs/>
          <w:color w:val="000000" w:themeColor="text1"/>
        </w:rPr>
        <w:t>ch tham quan c</w:t>
      </w:r>
      <w:r>
        <w:rPr>
          <w:rFonts w:cs="VNI-Times"/>
          <w:iCs/>
          <w:color w:val="000000" w:themeColor="text1"/>
        </w:rPr>
        <w:t>á</w:t>
      </w:r>
      <w:r>
        <w:rPr>
          <w:iCs/>
          <w:color w:val="000000" w:themeColor="text1"/>
        </w:rPr>
        <w:t xml:space="preserve">c </w:t>
      </w:r>
      <w:r>
        <w:rPr>
          <w:rFonts w:hint="eastAsia"/>
          <w:iCs/>
          <w:color w:val="000000" w:themeColor="text1"/>
        </w:rPr>
        <w:t>đ</w:t>
      </w:r>
      <w:r>
        <w:rPr>
          <w:iCs/>
          <w:color w:val="000000" w:themeColor="text1"/>
        </w:rPr>
        <w:t>i</w:t>
      </w:r>
      <w:r>
        <w:rPr>
          <w:rFonts w:cs="Cambria"/>
          <w:iCs/>
          <w:color w:val="000000" w:themeColor="text1"/>
        </w:rPr>
        <w:t>ể</w:t>
      </w:r>
      <w:r>
        <w:rPr>
          <w:iCs/>
          <w:color w:val="000000" w:themeColor="text1"/>
        </w:rPr>
        <w:t>m du l</w:t>
      </w:r>
      <w:r>
        <w:rPr>
          <w:rFonts w:cs="Cambria"/>
          <w:iCs/>
          <w:color w:val="000000" w:themeColor="text1"/>
        </w:rPr>
        <w:t>ị</w:t>
      </w:r>
      <w:r>
        <w:rPr>
          <w:iCs/>
          <w:color w:val="000000" w:themeColor="text1"/>
        </w:rPr>
        <w:t xml:space="preserve">ch </w:t>
      </w:r>
      <w:r>
        <w:rPr>
          <w:rFonts w:hint="eastAsia"/>
          <w:iCs/>
          <w:color w:val="000000" w:themeColor="text1"/>
        </w:rPr>
        <w:t>đ</w:t>
      </w:r>
      <w:r>
        <w:rPr>
          <w:rFonts w:cs="Cambria"/>
          <w:iCs/>
          <w:color w:val="000000" w:themeColor="text1"/>
        </w:rPr>
        <w:t>ạ</w:t>
      </w:r>
      <w:r>
        <w:rPr>
          <w:iCs/>
          <w:color w:val="000000" w:themeColor="text1"/>
        </w:rPr>
        <w:t>t: 3.365 l</w:t>
      </w:r>
      <w:r>
        <w:rPr>
          <w:rFonts w:cs="Cambria"/>
          <w:iCs/>
          <w:color w:val="000000" w:themeColor="text1"/>
        </w:rPr>
        <w:t>ượ</w:t>
      </w:r>
      <w:r>
        <w:rPr>
          <w:iCs/>
          <w:color w:val="000000" w:themeColor="text1"/>
        </w:rPr>
        <w:t>t; kh</w:t>
      </w:r>
      <w:r>
        <w:rPr>
          <w:rFonts w:cs="VNI-Times"/>
          <w:iCs/>
          <w:color w:val="000000" w:themeColor="text1"/>
        </w:rPr>
        <w:t>á</w:t>
      </w:r>
      <w:r>
        <w:rPr>
          <w:iCs/>
          <w:color w:val="000000" w:themeColor="text1"/>
        </w:rPr>
        <w:t>ch n</w:t>
      </w:r>
      <w:r>
        <w:rPr>
          <w:rFonts w:cs="Cambria"/>
          <w:iCs/>
          <w:color w:val="000000" w:themeColor="text1"/>
        </w:rPr>
        <w:t>ộ</w:t>
      </w:r>
      <w:r>
        <w:rPr>
          <w:iCs/>
          <w:color w:val="000000" w:themeColor="text1"/>
        </w:rPr>
        <w:t xml:space="preserve">i </w:t>
      </w:r>
      <w:r>
        <w:rPr>
          <w:rFonts w:hint="eastAsia"/>
          <w:iCs/>
          <w:color w:val="000000" w:themeColor="text1"/>
        </w:rPr>
        <w:t>đ</w:t>
      </w:r>
      <w:r>
        <w:rPr>
          <w:rFonts w:cs="Cambria"/>
          <w:iCs/>
          <w:color w:val="000000" w:themeColor="text1"/>
        </w:rPr>
        <w:t>ị</w:t>
      </w:r>
      <w:r>
        <w:rPr>
          <w:iCs/>
          <w:color w:val="000000" w:themeColor="text1"/>
        </w:rPr>
        <w:t xml:space="preserve">a </w:t>
      </w:r>
      <w:r>
        <w:rPr>
          <w:rFonts w:cs="Cambria"/>
          <w:iCs/>
          <w:color w:val="000000" w:themeColor="text1"/>
        </w:rPr>
        <w:t>ướ</w:t>
      </w:r>
      <w:r>
        <w:rPr>
          <w:iCs/>
          <w:color w:val="000000" w:themeColor="text1"/>
        </w:rPr>
        <w:t xml:space="preserve">c </w:t>
      </w:r>
      <w:r>
        <w:rPr>
          <w:rFonts w:hint="eastAsia"/>
          <w:iCs/>
          <w:color w:val="000000" w:themeColor="text1"/>
        </w:rPr>
        <w:t>đ</w:t>
      </w:r>
      <w:r>
        <w:rPr>
          <w:rFonts w:cs="Cambria"/>
          <w:iCs/>
          <w:color w:val="000000" w:themeColor="text1"/>
        </w:rPr>
        <w:t>ạ</w:t>
      </w:r>
      <w:r>
        <w:rPr>
          <w:iCs/>
          <w:color w:val="000000" w:themeColor="text1"/>
        </w:rPr>
        <w:t>t 988.527 l</w:t>
      </w:r>
      <w:r>
        <w:rPr>
          <w:rFonts w:cs="Cambria"/>
          <w:iCs/>
          <w:color w:val="000000" w:themeColor="text1"/>
        </w:rPr>
        <w:t>ượ</w:t>
      </w:r>
      <w:r>
        <w:rPr>
          <w:iCs/>
          <w:color w:val="000000" w:themeColor="text1"/>
        </w:rPr>
        <w:t>t kh</w:t>
      </w:r>
      <w:r>
        <w:rPr>
          <w:rFonts w:cs="VNI-Times"/>
          <w:iCs/>
          <w:color w:val="000000" w:themeColor="text1"/>
        </w:rPr>
        <w:t>á</w:t>
      </w:r>
      <w:r>
        <w:rPr>
          <w:iCs/>
          <w:color w:val="000000" w:themeColor="text1"/>
        </w:rPr>
        <w:t>ch, t</w:t>
      </w:r>
      <w:r>
        <w:rPr>
          <w:rFonts w:cs="Cambria"/>
          <w:iCs/>
          <w:color w:val="000000" w:themeColor="text1"/>
        </w:rPr>
        <w:t>ă</w:t>
      </w:r>
      <w:r>
        <w:rPr>
          <w:iCs/>
          <w:color w:val="000000" w:themeColor="text1"/>
        </w:rPr>
        <w:t>ng 12,2% v</w:t>
      </w:r>
      <w:r>
        <w:rPr>
          <w:rFonts w:cs="Cambria"/>
          <w:iCs/>
          <w:color w:val="000000" w:themeColor="text1"/>
        </w:rPr>
        <w:t>ớ</w:t>
      </w:r>
      <w:r>
        <w:rPr>
          <w:iCs/>
          <w:color w:val="000000" w:themeColor="text1"/>
        </w:rPr>
        <w:t>i c</w:t>
      </w:r>
      <w:r>
        <w:rPr>
          <w:rFonts w:cs="VNI-Times"/>
          <w:iCs/>
          <w:color w:val="000000" w:themeColor="text1"/>
        </w:rPr>
        <w:t>ù</w:t>
      </w:r>
      <w:r>
        <w:rPr>
          <w:iCs/>
          <w:color w:val="000000" w:themeColor="text1"/>
        </w:rPr>
        <w:t>ng k</w:t>
      </w:r>
      <w:r>
        <w:rPr>
          <w:rFonts w:cs="Cambria"/>
          <w:iCs/>
          <w:color w:val="000000" w:themeColor="text1"/>
        </w:rPr>
        <w:t>ỳ</w:t>
      </w:r>
      <w:r>
        <w:rPr>
          <w:iCs/>
          <w:color w:val="000000" w:themeColor="text1"/>
        </w:rPr>
        <w:t xml:space="preserve"> n</w:t>
      </w:r>
      <w:r>
        <w:rPr>
          <w:rFonts w:cs="Cambria"/>
          <w:iCs/>
          <w:color w:val="000000" w:themeColor="text1"/>
        </w:rPr>
        <w:t>ă</w:t>
      </w:r>
      <w:r>
        <w:rPr>
          <w:iCs/>
          <w:color w:val="000000" w:themeColor="text1"/>
        </w:rPr>
        <w:t xml:space="preserve">m 2024. </w:t>
      </w:r>
      <w:r>
        <w:rPr>
          <w:color w:val="000000" w:themeColor="text1"/>
        </w:rPr>
        <w:t>Lu</w:t>
      </w:r>
      <w:r>
        <w:rPr>
          <w:rFonts w:cs="Cambria"/>
          <w:color w:val="000000" w:themeColor="text1"/>
        </w:rPr>
        <w:t>ỹ</w:t>
      </w:r>
      <w:r>
        <w:rPr>
          <w:color w:val="000000" w:themeColor="text1"/>
        </w:rPr>
        <w:t xml:space="preserve"> k</w:t>
      </w:r>
      <w:r>
        <w:rPr>
          <w:rFonts w:cs="Cambria"/>
          <w:color w:val="000000" w:themeColor="text1"/>
        </w:rPr>
        <w:t>ế</w:t>
      </w:r>
      <w:r>
        <w:rPr>
          <w:color w:val="000000" w:themeColor="text1"/>
        </w:rPr>
        <w:t xml:space="preserve"> 4 th</w:t>
      </w:r>
      <w:r>
        <w:rPr>
          <w:rFonts w:cs="VNI-Times"/>
          <w:color w:val="000000" w:themeColor="text1"/>
        </w:rPr>
        <w:t>á</w:t>
      </w:r>
      <w:r>
        <w:rPr>
          <w:color w:val="000000" w:themeColor="text1"/>
        </w:rPr>
        <w:t xml:space="preserve">ng </w:t>
      </w:r>
      <w:r>
        <w:rPr>
          <w:rFonts w:hint="eastAsia"/>
          <w:color w:val="000000" w:themeColor="text1"/>
        </w:rPr>
        <w:t>đ</w:t>
      </w:r>
      <w:r>
        <w:rPr>
          <w:rFonts w:cs="Cambria"/>
          <w:color w:val="000000" w:themeColor="text1"/>
        </w:rPr>
        <w:t>ầ</w:t>
      </w:r>
      <w:r>
        <w:rPr>
          <w:color w:val="000000" w:themeColor="text1"/>
        </w:rPr>
        <w:t>u n</w:t>
      </w:r>
      <w:r>
        <w:rPr>
          <w:rFonts w:cs="Cambria"/>
          <w:color w:val="000000" w:themeColor="text1"/>
        </w:rPr>
        <w:t>ă</w:t>
      </w:r>
      <w:r>
        <w:rPr>
          <w:color w:val="000000" w:themeColor="text1"/>
        </w:rPr>
        <w:t>m 2025, khách du l</w:t>
      </w:r>
      <w:r>
        <w:rPr>
          <w:rFonts w:cs="Cambria"/>
          <w:color w:val="000000" w:themeColor="text1"/>
        </w:rPr>
        <w:t>ị</w:t>
      </w:r>
      <w:r>
        <w:rPr>
          <w:color w:val="000000" w:themeColor="text1"/>
        </w:rPr>
        <w:t xml:space="preserve">ch </w:t>
      </w:r>
      <w:r>
        <w:rPr>
          <w:rFonts w:hint="eastAsia"/>
          <w:color w:val="000000" w:themeColor="text1"/>
        </w:rPr>
        <w:t>đ</w:t>
      </w:r>
      <w:r>
        <w:rPr>
          <w:rFonts w:cs="Cambria"/>
          <w:color w:val="000000" w:themeColor="text1"/>
        </w:rPr>
        <w:t>ạ</w:t>
      </w:r>
      <w:r>
        <w:rPr>
          <w:color w:val="000000" w:themeColor="text1"/>
        </w:rPr>
        <w:t>t 4.204.065 l</w:t>
      </w:r>
      <w:r>
        <w:rPr>
          <w:rFonts w:cs="Cambria"/>
          <w:color w:val="000000" w:themeColor="text1"/>
        </w:rPr>
        <w:t>ượ</w:t>
      </w:r>
      <w:r>
        <w:rPr>
          <w:color w:val="000000" w:themeColor="text1"/>
        </w:rPr>
        <w:t>t kh</w:t>
      </w:r>
      <w:r>
        <w:rPr>
          <w:rFonts w:cs="VNI-Times"/>
          <w:color w:val="000000" w:themeColor="text1"/>
        </w:rPr>
        <w:t>á</w:t>
      </w:r>
      <w:r>
        <w:rPr>
          <w:color w:val="000000" w:themeColor="text1"/>
        </w:rPr>
        <w:t>ch, t</w:t>
      </w:r>
      <w:r>
        <w:rPr>
          <w:rFonts w:cs="Cambria"/>
          <w:color w:val="000000" w:themeColor="text1"/>
        </w:rPr>
        <w:t>ă</w:t>
      </w:r>
      <w:r>
        <w:rPr>
          <w:color w:val="000000" w:themeColor="text1"/>
        </w:rPr>
        <w:t>ng 14,2% v</w:t>
      </w:r>
      <w:r>
        <w:rPr>
          <w:rFonts w:cs="Cambria"/>
          <w:color w:val="000000" w:themeColor="text1"/>
        </w:rPr>
        <w:t>ớ</w:t>
      </w:r>
      <w:r>
        <w:rPr>
          <w:color w:val="000000" w:themeColor="text1"/>
        </w:rPr>
        <w:t>i c</w:t>
      </w:r>
      <w:r>
        <w:rPr>
          <w:rFonts w:cs="VNI-Times"/>
          <w:color w:val="000000" w:themeColor="text1"/>
        </w:rPr>
        <w:t>ù</w:t>
      </w:r>
      <w:r>
        <w:rPr>
          <w:color w:val="000000" w:themeColor="text1"/>
        </w:rPr>
        <w:t>ng k</w:t>
      </w:r>
      <w:r>
        <w:rPr>
          <w:rFonts w:cs="Cambria"/>
          <w:color w:val="000000" w:themeColor="text1"/>
        </w:rPr>
        <w:t>ỳ</w:t>
      </w:r>
      <w:r>
        <w:rPr>
          <w:color w:val="000000" w:themeColor="text1"/>
        </w:rPr>
        <w:t xml:space="preserve"> n</w:t>
      </w:r>
      <w:r>
        <w:rPr>
          <w:rFonts w:cs="Cambria"/>
          <w:color w:val="000000" w:themeColor="text1"/>
        </w:rPr>
        <w:t>ă</w:t>
      </w:r>
      <w:r>
        <w:rPr>
          <w:color w:val="000000" w:themeColor="text1"/>
        </w:rPr>
        <w:t xml:space="preserve">m 2024, trong </w:t>
      </w:r>
      <w:r>
        <w:rPr>
          <w:rFonts w:hint="eastAsia"/>
          <w:color w:val="000000" w:themeColor="text1"/>
        </w:rPr>
        <w:t>đó</w:t>
      </w:r>
      <w:r>
        <w:rPr>
          <w:color w:val="000000" w:themeColor="text1"/>
        </w:rPr>
        <w:t>: khách qu</w:t>
      </w:r>
      <w:r>
        <w:rPr>
          <w:rFonts w:cs="Cambria"/>
          <w:color w:val="000000" w:themeColor="text1"/>
        </w:rPr>
        <w:t>ố</w:t>
      </w:r>
      <w:r>
        <w:rPr>
          <w:color w:val="000000" w:themeColor="text1"/>
        </w:rPr>
        <w:t>c t</w:t>
      </w:r>
      <w:r>
        <w:rPr>
          <w:rFonts w:cs="Cambria"/>
          <w:color w:val="000000" w:themeColor="text1"/>
        </w:rPr>
        <w:t>ế</w:t>
      </w:r>
      <w:r>
        <w:rPr>
          <w:color w:val="000000" w:themeColor="text1"/>
        </w:rPr>
        <w:t>: 39.860 l</w:t>
      </w:r>
      <w:r>
        <w:rPr>
          <w:rFonts w:cs="Cambria"/>
          <w:color w:val="000000" w:themeColor="text1"/>
        </w:rPr>
        <w:t>ượ</w:t>
      </w:r>
      <w:r>
        <w:rPr>
          <w:color w:val="000000" w:themeColor="text1"/>
        </w:rPr>
        <w:t xml:space="preserve">t </w:t>
      </w:r>
      <w:r>
        <w:rPr>
          <w:i/>
          <w:color w:val="000000" w:themeColor="text1"/>
        </w:rPr>
        <w:t xml:space="preserve">(trong </w:t>
      </w:r>
      <w:r>
        <w:rPr>
          <w:rFonts w:hint="eastAsia"/>
          <w:i/>
          <w:color w:val="000000" w:themeColor="text1"/>
        </w:rPr>
        <w:t>đó</w:t>
      </w:r>
      <w:r>
        <w:rPr>
          <w:i/>
          <w:color w:val="000000" w:themeColor="text1"/>
        </w:rPr>
        <w:t>: 29.071 l</w:t>
      </w:r>
      <w:r>
        <w:rPr>
          <w:rFonts w:cs="Cambria"/>
          <w:i/>
          <w:color w:val="000000" w:themeColor="text1"/>
        </w:rPr>
        <w:t>ượ</w:t>
      </w:r>
      <w:r>
        <w:rPr>
          <w:i/>
          <w:color w:val="000000" w:themeColor="text1"/>
        </w:rPr>
        <w:t>t l</w:t>
      </w:r>
      <w:r>
        <w:rPr>
          <w:rFonts w:cs="Cambria"/>
          <w:i/>
          <w:color w:val="000000" w:themeColor="text1"/>
        </w:rPr>
        <w:t>ư</w:t>
      </w:r>
      <w:r>
        <w:rPr>
          <w:i/>
          <w:color w:val="000000" w:themeColor="text1"/>
        </w:rPr>
        <w:t xml:space="preserve">u trú qua </w:t>
      </w:r>
      <w:r>
        <w:rPr>
          <w:rFonts w:hint="eastAsia"/>
          <w:i/>
          <w:color w:val="000000" w:themeColor="text1"/>
        </w:rPr>
        <w:t>đê</w:t>
      </w:r>
      <w:r>
        <w:rPr>
          <w:i/>
          <w:color w:val="000000" w:themeColor="text1"/>
        </w:rPr>
        <w:t>m t</w:t>
      </w:r>
      <w:r>
        <w:rPr>
          <w:rFonts w:cs="Cambria"/>
          <w:i/>
          <w:color w:val="000000" w:themeColor="text1"/>
        </w:rPr>
        <w:t>ạ</w:t>
      </w:r>
      <w:r>
        <w:rPr>
          <w:i/>
          <w:color w:val="000000" w:themeColor="text1"/>
        </w:rPr>
        <w:t>i c</w:t>
      </w:r>
      <w:r>
        <w:rPr>
          <w:rFonts w:cs="VNI-Times"/>
          <w:i/>
          <w:color w:val="000000" w:themeColor="text1"/>
        </w:rPr>
        <w:t>á</w:t>
      </w:r>
      <w:r>
        <w:rPr>
          <w:i/>
          <w:color w:val="000000" w:themeColor="text1"/>
        </w:rPr>
        <w:t>c c</w:t>
      </w:r>
      <w:r>
        <w:rPr>
          <w:rFonts w:cs="Cambria"/>
          <w:i/>
          <w:color w:val="000000" w:themeColor="text1"/>
        </w:rPr>
        <w:t>ơ</w:t>
      </w:r>
      <w:r>
        <w:rPr>
          <w:i/>
          <w:color w:val="000000" w:themeColor="text1"/>
        </w:rPr>
        <w:t xml:space="preserve"> s</w:t>
      </w:r>
      <w:r>
        <w:rPr>
          <w:rFonts w:cs="Cambria"/>
          <w:i/>
          <w:color w:val="000000" w:themeColor="text1"/>
        </w:rPr>
        <w:t>ở</w:t>
      </w:r>
      <w:r>
        <w:rPr>
          <w:i/>
          <w:color w:val="000000" w:themeColor="text1"/>
        </w:rPr>
        <w:t xml:space="preserve"> l</w:t>
      </w:r>
      <w:r>
        <w:rPr>
          <w:rFonts w:cs="Cambria"/>
          <w:i/>
          <w:color w:val="000000" w:themeColor="text1"/>
        </w:rPr>
        <w:t>ư</w:t>
      </w:r>
      <w:r>
        <w:rPr>
          <w:i/>
          <w:color w:val="000000" w:themeColor="text1"/>
        </w:rPr>
        <w:t>u trú và 10.789 l</w:t>
      </w:r>
      <w:r>
        <w:rPr>
          <w:rFonts w:cs="Cambria"/>
          <w:i/>
          <w:color w:val="000000" w:themeColor="text1"/>
        </w:rPr>
        <w:t>ượ</w:t>
      </w:r>
      <w:r>
        <w:rPr>
          <w:i/>
          <w:color w:val="000000" w:themeColor="text1"/>
        </w:rPr>
        <w:t>t tham quan t</w:t>
      </w:r>
      <w:r>
        <w:rPr>
          <w:rFonts w:cs="Cambria"/>
          <w:i/>
          <w:color w:val="000000" w:themeColor="text1"/>
        </w:rPr>
        <w:t>ạ</w:t>
      </w:r>
      <w:r>
        <w:rPr>
          <w:i/>
          <w:color w:val="000000" w:themeColor="text1"/>
        </w:rPr>
        <w:t>i c</w:t>
      </w:r>
      <w:r>
        <w:rPr>
          <w:rFonts w:cs="VNI-Times"/>
          <w:i/>
          <w:color w:val="000000" w:themeColor="text1"/>
        </w:rPr>
        <w:t>á</w:t>
      </w:r>
      <w:r>
        <w:rPr>
          <w:i/>
          <w:color w:val="000000" w:themeColor="text1"/>
        </w:rPr>
        <w:t xml:space="preserve">c khu, </w:t>
      </w:r>
      <w:r>
        <w:rPr>
          <w:rFonts w:hint="eastAsia"/>
          <w:i/>
          <w:color w:val="000000" w:themeColor="text1"/>
        </w:rPr>
        <w:t>đ</w:t>
      </w:r>
      <w:r>
        <w:rPr>
          <w:i/>
          <w:color w:val="000000" w:themeColor="text1"/>
        </w:rPr>
        <w:t>i</w:t>
      </w:r>
      <w:r>
        <w:rPr>
          <w:rFonts w:cs="Cambria"/>
          <w:i/>
          <w:color w:val="000000" w:themeColor="text1"/>
        </w:rPr>
        <w:t>ể</w:t>
      </w:r>
      <w:r>
        <w:rPr>
          <w:i/>
          <w:color w:val="000000" w:themeColor="text1"/>
        </w:rPr>
        <w:t>m du l</w:t>
      </w:r>
      <w:r>
        <w:rPr>
          <w:rFonts w:cs="Cambria"/>
          <w:i/>
          <w:color w:val="000000" w:themeColor="text1"/>
        </w:rPr>
        <w:t>ị</w:t>
      </w:r>
      <w:r>
        <w:rPr>
          <w:i/>
          <w:color w:val="000000" w:themeColor="text1"/>
        </w:rPr>
        <w:t xml:space="preserve">ch) </w:t>
      </w:r>
      <w:r>
        <w:rPr>
          <w:iCs/>
          <w:color w:val="000000" w:themeColor="text1"/>
        </w:rPr>
        <w:t>t</w:t>
      </w:r>
      <w:r>
        <w:rPr>
          <w:rFonts w:cs="Cambria"/>
          <w:iCs/>
          <w:color w:val="000000" w:themeColor="text1"/>
        </w:rPr>
        <w:t>ă</w:t>
      </w:r>
      <w:r>
        <w:rPr>
          <w:iCs/>
          <w:color w:val="000000" w:themeColor="text1"/>
        </w:rPr>
        <w:t>ng 6% so v</w:t>
      </w:r>
      <w:r>
        <w:rPr>
          <w:rFonts w:cs="Cambria"/>
          <w:iCs/>
          <w:color w:val="000000" w:themeColor="text1"/>
        </w:rPr>
        <w:t>ớ</w:t>
      </w:r>
      <w:r>
        <w:rPr>
          <w:iCs/>
          <w:color w:val="000000" w:themeColor="text1"/>
        </w:rPr>
        <w:t>i c</w:t>
      </w:r>
      <w:r>
        <w:rPr>
          <w:rFonts w:cs="VNI-Times"/>
          <w:iCs/>
          <w:color w:val="000000" w:themeColor="text1"/>
        </w:rPr>
        <w:t>ù</w:t>
      </w:r>
      <w:r>
        <w:rPr>
          <w:iCs/>
          <w:color w:val="000000" w:themeColor="text1"/>
        </w:rPr>
        <w:t>ng k</w:t>
      </w:r>
      <w:r>
        <w:rPr>
          <w:rFonts w:cs="Cambria"/>
          <w:iCs/>
          <w:color w:val="000000" w:themeColor="text1"/>
        </w:rPr>
        <w:t>ỳ</w:t>
      </w:r>
      <w:r>
        <w:rPr>
          <w:iCs/>
          <w:color w:val="000000" w:themeColor="text1"/>
        </w:rPr>
        <w:t xml:space="preserve"> n</w:t>
      </w:r>
      <w:r>
        <w:rPr>
          <w:rFonts w:cs="Cambria"/>
          <w:iCs/>
          <w:color w:val="000000" w:themeColor="text1"/>
        </w:rPr>
        <w:t>ă</w:t>
      </w:r>
      <w:r>
        <w:rPr>
          <w:iCs/>
          <w:color w:val="000000" w:themeColor="text1"/>
        </w:rPr>
        <w:t>m 2024; khách n</w:t>
      </w:r>
      <w:r>
        <w:rPr>
          <w:rFonts w:cs="Cambria"/>
          <w:iCs/>
          <w:color w:val="000000" w:themeColor="text1"/>
        </w:rPr>
        <w:t>ộ</w:t>
      </w:r>
      <w:r>
        <w:rPr>
          <w:iCs/>
          <w:color w:val="000000" w:themeColor="text1"/>
        </w:rPr>
        <w:t xml:space="preserve">i </w:t>
      </w:r>
      <w:r>
        <w:rPr>
          <w:rFonts w:hint="eastAsia"/>
          <w:iCs/>
          <w:color w:val="000000" w:themeColor="text1"/>
        </w:rPr>
        <w:t>đ</w:t>
      </w:r>
      <w:r>
        <w:rPr>
          <w:rFonts w:cs="Cambria"/>
          <w:iCs/>
          <w:color w:val="000000" w:themeColor="text1"/>
        </w:rPr>
        <w:t>ị</w:t>
      </w:r>
      <w:r>
        <w:rPr>
          <w:iCs/>
          <w:color w:val="000000" w:themeColor="text1"/>
        </w:rPr>
        <w:t>a: 4.164.205 l</w:t>
      </w:r>
      <w:r>
        <w:rPr>
          <w:rFonts w:cs="Cambria"/>
          <w:iCs/>
          <w:color w:val="000000" w:themeColor="text1"/>
        </w:rPr>
        <w:t>ượ</w:t>
      </w:r>
      <w:r>
        <w:rPr>
          <w:iCs/>
          <w:color w:val="000000" w:themeColor="text1"/>
        </w:rPr>
        <w:t>t, t</w:t>
      </w:r>
      <w:r>
        <w:rPr>
          <w:rFonts w:cs="Cambria"/>
          <w:iCs/>
          <w:color w:val="000000" w:themeColor="text1"/>
        </w:rPr>
        <w:t>ă</w:t>
      </w:r>
      <w:r>
        <w:rPr>
          <w:iCs/>
          <w:color w:val="000000" w:themeColor="text1"/>
        </w:rPr>
        <w:t>ng 14,3% so v</w:t>
      </w:r>
      <w:r>
        <w:rPr>
          <w:rFonts w:cs="Cambria"/>
          <w:iCs/>
          <w:color w:val="000000" w:themeColor="text1"/>
        </w:rPr>
        <w:t>ớ</w:t>
      </w:r>
      <w:r>
        <w:rPr>
          <w:iCs/>
          <w:color w:val="000000" w:themeColor="text1"/>
        </w:rPr>
        <w:t>i c</w:t>
      </w:r>
      <w:r>
        <w:rPr>
          <w:rFonts w:cs="VNI-Times"/>
          <w:iCs/>
          <w:color w:val="000000" w:themeColor="text1"/>
        </w:rPr>
        <w:t>ù</w:t>
      </w:r>
      <w:r>
        <w:rPr>
          <w:iCs/>
          <w:color w:val="000000" w:themeColor="text1"/>
        </w:rPr>
        <w:t>ng k</w:t>
      </w:r>
      <w:r>
        <w:rPr>
          <w:rFonts w:cs="Cambria"/>
          <w:iCs/>
          <w:color w:val="000000" w:themeColor="text1"/>
        </w:rPr>
        <w:t>ỳ</w:t>
      </w:r>
      <w:r>
        <w:rPr>
          <w:iCs/>
          <w:color w:val="000000" w:themeColor="text1"/>
        </w:rPr>
        <w:t xml:space="preserve"> n</w:t>
      </w:r>
      <w:r>
        <w:rPr>
          <w:rFonts w:cs="Cambria"/>
          <w:iCs/>
          <w:color w:val="000000" w:themeColor="text1"/>
        </w:rPr>
        <w:t>ă</w:t>
      </w:r>
      <w:r>
        <w:rPr>
          <w:iCs/>
          <w:color w:val="000000" w:themeColor="text1"/>
        </w:rPr>
        <w:t>m 2024.</w:t>
      </w:r>
    </w:p>
    <w:p w14:paraId="484FF7B3" w14:textId="77777777" w:rsidR="006B4329" w:rsidRDefault="00D0460A">
      <w:pPr>
        <w:widowControl w:val="0"/>
        <w:spacing w:before="120" w:after="120" w:line="240" w:lineRule="auto"/>
        <w:ind w:leftChars="0" w:left="0" w:firstLineChars="0" w:firstLine="720"/>
        <w:jc w:val="both"/>
        <w:rPr>
          <w:color w:val="000000" w:themeColor="text1"/>
          <w:shd w:val="clear" w:color="auto" w:fill="FFFFFF"/>
        </w:rPr>
      </w:pPr>
      <w:r>
        <w:rPr>
          <w:color w:val="000000" w:themeColor="text1"/>
          <w:shd w:val="clear" w:color="auto" w:fill="FFFFFF"/>
        </w:rPr>
        <w:t xml:space="preserve">Tổng thu từ khách du lịch tháng 4 năm 2025 ước đạt 2.830 tỷ đồng tăng 14,2% so với cùng kỳ năm 2024 </w:t>
      </w:r>
      <w:r>
        <w:rPr>
          <w:i/>
          <w:iCs/>
          <w:color w:val="000000" w:themeColor="text1"/>
          <w:shd w:val="clear" w:color="auto" w:fill="FFFFFF"/>
        </w:rPr>
        <w:t>(trong đó: doanh thu lưu trú ước đạt 656,6 tỷ, chiếm 23,2% tổng doanh thu; doanh thu ăn uống đạt 820,6 tỷ đồng, chiếm 29% tổng doanh thu; doanh thu tham quan, vui chơi giải trí đạt 373,6 tỷ đồng, chiếm 13,2%; doanh thu lữ hành, vận chuyển đạt 489,6 tỷ đồng, chiếm 17,3% tổng doanh thu và doanh thu dịch vụ khác đạt 489,6 tỷ đồng, chiếm 17,3% tổng doanh thu)</w:t>
      </w:r>
      <w:r>
        <w:rPr>
          <w:color w:val="000000" w:themeColor="text1"/>
          <w:shd w:val="clear" w:color="auto" w:fill="FFFFFF"/>
        </w:rPr>
        <w:t>. Luỹ kế tổng thu từ khách du lịch trong 4 tháng đầu năm 2025 đạt 10.172 tỷ đồng tăng 15% so với cùng kỳ năm 2024.</w:t>
      </w:r>
    </w:p>
    <w:p w14:paraId="484FF7B4" w14:textId="77777777" w:rsidR="006B4329" w:rsidRPr="00084E48" w:rsidRDefault="00D0460A">
      <w:pPr>
        <w:widowControl w:val="0"/>
        <w:spacing w:before="120" w:after="120" w:line="240" w:lineRule="auto"/>
        <w:ind w:leftChars="0" w:left="0" w:firstLineChars="0" w:firstLine="720"/>
        <w:jc w:val="both"/>
        <w:rPr>
          <w:iCs/>
        </w:rPr>
      </w:pPr>
      <w:r w:rsidRPr="00E661ED">
        <w:rPr>
          <w:rFonts w:eastAsia="SimSun"/>
          <w:color w:val="000000" w:themeColor="text1"/>
        </w:rPr>
        <w:t>Tính chung 4 tháng đầu năm, dịch vụ vận chuyển hành khách ước đạt 17,6 triệu hành khách, tăng 14,7% và luân chuyển 1.775 triệu hành khách.km, tăng 13,5% so với cùng kỳ. Vận tải hàng hoá ước đạt 12,5 triệu tấn, tăng 17,1%; luân chuyển 1.627 triệu tấn.km, tăng 8% so với cùng kỳ. Hàng thông qua cảng biển trong tháng 4/2025 ước đạt 1.325 nghìn TTQ, tăng 7</w:t>
      </w:r>
      <w:r w:rsidRPr="00084E48">
        <w:rPr>
          <w:rFonts w:eastAsia="SimSun"/>
        </w:rPr>
        <w:t>% so với tháng trước, tăng 0,8% so với cùng kỳ. Tính chung4 tháng đầu năm 2025 sản lượng hàng hóa thông qua cảng biển ước đạt 4.582,4 nghìn TTQ, giảm 4,3% so với cùng kỳ năm trước.</w:t>
      </w:r>
    </w:p>
    <w:p w14:paraId="484FF7B5" w14:textId="72897D04" w:rsidR="006B4329" w:rsidRPr="00084E48" w:rsidRDefault="00D0460A" w:rsidP="00670AF5">
      <w:pPr>
        <w:widowControl w:val="0"/>
        <w:spacing w:before="120" w:after="120" w:line="240" w:lineRule="auto"/>
        <w:ind w:leftChars="0" w:left="0" w:firstLineChars="0" w:firstLine="720"/>
        <w:jc w:val="both"/>
      </w:pPr>
      <w:r w:rsidRPr="00084E48">
        <w:t xml:space="preserve">Tổng thu ngân sách nhà nước </w:t>
      </w:r>
      <w:r w:rsidR="00670AF5" w:rsidRPr="00084E48">
        <w:t>4 tháng đầu năm</w:t>
      </w:r>
      <w:r w:rsidR="00B86058" w:rsidRPr="00084E48">
        <w:t xml:space="preserve"> 2025</w:t>
      </w:r>
      <w:r w:rsidR="00670AF5" w:rsidRPr="00084E48">
        <w:t xml:space="preserve"> </w:t>
      </w:r>
      <w:r w:rsidRPr="00084E48">
        <w:t>là 5.</w:t>
      </w:r>
      <w:r w:rsidR="00670AF5" w:rsidRPr="00084E48">
        <w:t>995,9</w:t>
      </w:r>
      <w:r w:rsidRPr="00084E48">
        <w:t xml:space="preserve"> tỷ đồng, đạt </w:t>
      </w:r>
      <w:r w:rsidRPr="00084E48">
        <w:lastRenderedPageBreak/>
        <w:t>3</w:t>
      </w:r>
      <w:r w:rsidR="00670AF5" w:rsidRPr="00084E48">
        <w:t>4,4</w:t>
      </w:r>
      <w:r w:rsidRPr="00084E48">
        <w:t xml:space="preserve">% dự toán năm, tăng </w:t>
      </w:r>
      <w:r w:rsidR="00670AF5" w:rsidRPr="00084E48">
        <w:t>50,3</w:t>
      </w:r>
      <w:r w:rsidRPr="00084E48">
        <w:t>% so với cùng kỳ. Trong đó, thu nội địa (</w:t>
      </w:r>
      <w:r w:rsidRPr="00084E48">
        <w:rPr>
          <w:i/>
        </w:rPr>
        <w:t>trừ tiền sử dụng đất; thu cổ tức, lợi nhuận được chia và lợi nhuận còn lại, xổ số kiến thiết</w:t>
      </w:r>
      <w:r w:rsidRPr="00084E48">
        <w:t xml:space="preserve">) là </w:t>
      </w:r>
      <w:r w:rsidR="00670AF5" w:rsidRPr="00084E48">
        <w:t>3.008,5</w:t>
      </w:r>
      <w:r w:rsidRPr="00084E48">
        <w:t xml:space="preserve"> tỷ đồng, đạt 3</w:t>
      </w:r>
      <w:r w:rsidR="00670AF5" w:rsidRPr="00084E48">
        <w:t>3,5</w:t>
      </w:r>
      <w:r w:rsidRPr="00084E48">
        <w:t xml:space="preserve">% dự toán năm, tăng </w:t>
      </w:r>
      <w:r w:rsidR="00670AF5" w:rsidRPr="00084E48">
        <w:t>22,1</w:t>
      </w:r>
      <w:r w:rsidRPr="00084E48">
        <w:t>% so với cùng kỳ. Riêng thu tiền sử dụng đất là 2.</w:t>
      </w:r>
      <w:r w:rsidR="00670AF5" w:rsidRPr="00084E48">
        <w:t>738,8</w:t>
      </w:r>
      <w:r w:rsidRPr="00084E48">
        <w:t xml:space="preserve"> tỷ đồng, đạt 3</w:t>
      </w:r>
      <w:r w:rsidR="00670AF5" w:rsidRPr="00084E48">
        <w:t>8,0</w:t>
      </w:r>
      <w:r w:rsidRPr="00084E48">
        <w:t xml:space="preserve">% dự toán năm, tăng </w:t>
      </w:r>
      <w:r w:rsidR="00670AF5" w:rsidRPr="00084E48">
        <w:t>2,3 lần</w:t>
      </w:r>
      <w:r w:rsidRPr="00084E48">
        <w:t xml:space="preserve"> so với cùng kỳ; thu xuất nhập khẩu là 13</w:t>
      </w:r>
      <w:r w:rsidR="00670AF5" w:rsidRPr="00084E48">
        <w:t>7</w:t>
      </w:r>
      <w:r w:rsidRPr="00084E48">
        <w:t xml:space="preserve"> tỷ đồng, đạt 1</w:t>
      </w:r>
      <w:r w:rsidR="00670AF5" w:rsidRPr="00084E48">
        <w:t>4,4</w:t>
      </w:r>
      <w:r w:rsidRPr="00084E48">
        <w:t xml:space="preserve">% dự toán năm, </w:t>
      </w:r>
      <w:r w:rsidR="00670AF5" w:rsidRPr="00084E48">
        <w:t>bằng 55,4</w:t>
      </w:r>
      <w:r w:rsidRPr="00084E48">
        <w:t xml:space="preserve">% so với cùng kỳ. Tổng chi ngân sách nhà nước </w:t>
      </w:r>
      <w:r w:rsidR="00B86058" w:rsidRPr="00084E48">
        <w:t>4 tháng đầu năm 2025</w:t>
      </w:r>
      <w:r w:rsidRPr="00084E48">
        <w:t xml:space="preserve"> là 6.</w:t>
      </w:r>
      <w:r w:rsidR="00B86058" w:rsidRPr="00084E48">
        <w:t>675,1</w:t>
      </w:r>
      <w:r w:rsidRPr="00084E48">
        <w:t xml:space="preserve"> tỷ đồng, đạt 2</w:t>
      </w:r>
      <w:r w:rsidR="00B86058" w:rsidRPr="00084E48">
        <w:t>8,0</w:t>
      </w:r>
      <w:r w:rsidRPr="00084E48">
        <w:t xml:space="preserve">% dự toán năm, tăng </w:t>
      </w:r>
      <w:r w:rsidR="00B86058" w:rsidRPr="00084E48">
        <w:t>27,0</w:t>
      </w:r>
      <w:r w:rsidRPr="00084E48">
        <w:t>% so với cùng kỳ; trong đó, chi thường xuyên là 4.</w:t>
      </w:r>
      <w:r w:rsidR="00B86058" w:rsidRPr="00084E48">
        <w:t>351,2</w:t>
      </w:r>
      <w:r w:rsidRPr="00084E48">
        <w:t xml:space="preserve"> tỷ đồng, đạt 3</w:t>
      </w:r>
      <w:r w:rsidR="00B86058" w:rsidRPr="00084E48">
        <w:t>7,8</w:t>
      </w:r>
      <w:r w:rsidRPr="00084E48">
        <w:t xml:space="preserve">% dự toán năm, tăng </w:t>
      </w:r>
      <w:r w:rsidR="00B86058" w:rsidRPr="00084E48">
        <w:t>30,5</w:t>
      </w:r>
      <w:r w:rsidRPr="00084E48">
        <w:t>% so với cùng kỳ.</w:t>
      </w:r>
    </w:p>
    <w:p w14:paraId="484FF7B6"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 xml:space="preserve">Về hoạt động </w:t>
      </w:r>
      <w:r>
        <w:rPr>
          <w:i/>
          <w:color w:val="000000" w:themeColor="text1"/>
        </w:rPr>
        <w:t>tài chính, tín dụng</w:t>
      </w:r>
      <w:r>
        <w:rPr>
          <w:color w:val="000000" w:themeColor="text1"/>
        </w:rPr>
        <w:t>, ước đến cuối tháng 4, tổng nguồn vốn huy động của hệ thống ngân hàng, tổ chức tín dụng trên địa bàn tỉnh là 120.521 tỷ đồng, tăng 13,3% so với cùng kỳ; tổng dư nợ ước đạt 115.987 tỷ đồng, tăng 10,2% so với cùng kỳ (trong đó nợ xấu chiếm khoảng 0,99% so với tổng dư nợ).</w:t>
      </w:r>
    </w:p>
    <w:p w14:paraId="484FF7B7" w14:textId="77777777" w:rsidR="006B4329" w:rsidRDefault="00D0460A">
      <w:pPr>
        <w:widowControl w:val="0"/>
        <w:spacing w:before="120" w:after="120" w:line="240" w:lineRule="auto"/>
        <w:ind w:leftChars="0" w:left="0" w:firstLineChars="0" w:firstLine="720"/>
        <w:jc w:val="both"/>
        <w:rPr>
          <w:b/>
          <w:color w:val="000000" w:themeColor="text1"/>
        </w:rPr>
      </w:pPr>
      <w:r>
        <w:rPr>
          <w:b/>
          <w:color w:val="000000" w:themeColor="text1"/>
        </w:rPr>
        <w:t>4. Về thực hiện kế hoạch đầu tư phát triển</w:t>
      </w:r>
    </w:p>
    <w:p w14:paraId="484FF7B8"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position w:val="0"/>
        </w:rPr>
        <w:t xml:space="preserve">Trong tháng các Chủ đầu tư tiếp tục đẩy nhanh tiến độ thi công các công trình trọng điểm của tỉnh. Tiếp tục nâng cao chất lượng quản lý về xây dựng cơ bản; đẩy mạnh việc giải ngân kế hoạch vốn đầu tư công, phấn đấu giải ngân </w:t>
      </w:r>
      <w:r>
        <w:rPr>
          <w:rFonts w:eastAsia="SimSun"/>
          <w:color w:val="000000" w:themeColor="text1"/>
          <w:position w:val="0"/>
        </w:rPr>
        <w:t>đến hết quý II/2025 đạt trên 40%</w:t>
      </w:r>
      <w:r>
        <w:rPr>
          <w:color w:val="000000" w:themeColor="text1"/>
          <w:position w:val="0"/>
        </w:rPr>
        <w:t xml:space="preserve"> kế hoạch vốn đã giao.</w:t>
      </w:r>
    </w:p>
    <w:p w14:paraId="484FF7B9" w14:textId="7C8E740E" w:rsidR="006B4329" w:rsidRDefault="00D0460A" w:rsidP="0065574B">
      <w:pPr>
        <w:widowControl w:val="0"/>
        <w:spacing w:before="120" w:after="120" w:line="240" w:lineRule="auto"/>
        <w:ind w:leftChars="0" w:left="0" w:firstLineChars="0" w:firstLine="720"/>
        <w:jc w:val="both"/>
        <w:rPr>
          <w:color w:val="000000" w:themeColor="text1"/>
        </w:rPr>
      </w:pPr>
      <w:r>
        <w:rPr>
          <w:color w:val="000000" w:themeColor="text1"/>
        </w:rPr>
        <w:t xml:space="preserve">Giá trị giải ngân vốn đầu tư công do tỉnh quản lý </w:t>
      </w:r>
      <w:r w:rsidR="0065574B">
        <w:rPr>
          <w:color w:val="000000" w:themeColor="text1"/>
        </w:rPr>
        <w:t>4 tháng đầu năm 2025</w:t>
      </w:r>
      <w:r>
        <w:rPr>
          <w:color w:val="000000" w:themeColor="text1"/>
        </w:rPr>
        <w:t xml:space="preserve"> là 2.062,4 tỷ đồng. So với kế hoạch Thủ tướng Chính phủ giao (8.412,5 tỷ đồng), tỷ lệ giải ngân đạt 24,5%; so với Kế hoạch Hội đồng nhân dân tỉnh giao (9.477,5 tỷ đồng), tỷ lệ giải ngân đạt 21,7</w:t>
      </w:r>
      <w:r w:rsidR="0065574B">
        <w:rPr>
          <w:color w:val="000000" w:themeColor="text1"/>
        </w:rPr>
        <w:t>6</w:t>
      </w:r>
      <w:r>
        <w:rPr>
          <w:color w:val="000000" w:themeColor="text1"/>
        </w:rPr>
        <w:t>% kế hoạch vốn</w:t>
      </w:r>
      <w:r w:rsidR="0065574B">
        <w:rPr>
          <w:color w:val="000000" w:themeColor="text1"/>
        </w:rPr>
        <w:t xml:space="preserve">, cao hơn mức bình quân chung của cả nước là 14,3%. </w:t>
      </w:r>
      <w:r>
        <w:rPr>
          <w:color w:val="000000" w:themeColor="text1"/>
        </w:rPr>
        <w:t xml:space="preserve">Trong đó, giải ngân nguồn vốn ngân sách địa phương là 21,3% (trong đó: từ nguồn thu tiền sử dụng đất là 19,5%; nguồn xổ số kiến thiết là 37,4% kế hoạch năm). Ngoài ra, giá trị giải ngân một số nguồn vốn khác như sau: Vốn Trung ương hỗ trợ theo mục tiêu là 22,5%; Vốn Chương trình Mục tiêu quốc gia đạt 36,6%; Vốn nước ngoài (ODA) đạt 21,8% kế hoạch năm. </w:t>
      </w:r>
    </w:p>
    <w:p w14:paraId="484FF7BA" w14:textId="77777777" w:rsidR="006B4329" w:rsidRDefault="00D0460A">
      <w:pPr>
        <w:widowControl w:val="0"/>
        <w:spacing w:before="120" w:after="120" w:line="240" w:lineRule="auto"/>
        <w:ind w:leftChars="0" w:left="0" w:firstLineChars="0" w:firstLine="720"/>
        <w:jc w:val="both"/>
        <w:rPr>
          <w:b/>
          <w:color w:val="000000" w:themeColor="text1"/>
        </w:rPr>
      </w:pPr>
      <w:r>
        <w:rPr>
          <w:b/>
          <w:color w:val="000000" w:themeColor="text1"/>
        </w:rPr>
        <w:t>5. Về thu hút đầu tư và phát triển doanh nghiệp</w:t>
      </w:r>
    </w:p>
    <w:p w14:paraId="484FF7BB" w14:textId="77777777" w:rsidR="006B4329" w:rsidRDefault="00D0460A">
      <w:pPr>
        <w:widowControl w:val="0"/>
        <w:spacing w:before="120" w:after="120" w:line="240" w:lineRule="auto"/>
        <w:ind w:leftChars="0" w:left="0" w:firstLineChars="0" w:firstLine="720"/>
        <w:jc w:val="both"/>
        <w:rPr>
          <w:color w:val="000000" w:themeColor="text1"/>
          <w:position w:val="0"/>
        </w:rPr>
      </w:pPr>
      <w:r>
        <w:rPr>
          <w:color w:val="000000" w:themeColor="text1"/>
          <w:position w:val="0"/>
        </w:rPr>
        <w:t xml:space="preserve">Công tác xúc tiến, thu hút đầu tư tiếp tục được đẩy mạnh. Trong tháng, tỉnh đã tổ chức chương trình Lễ ký kết bản ghi nhớ hợp tác đầu tư với Tập đoàn Syre (Thụy Điển) về Dự án Tổ hợp sản xuất tái chế vải polyester </w:t>
      </w:r>
      <w:r>
        <w:rPr>
          <w:rFonts w:eastAsia="SimSun"/>
          <w:color w:val="000000" w:themeColor="text1"/>
          <w:position w:val="0"/>
          <w:shd w:val="clear" w:color="auto" w:fill="FFFFFF"/>
        </w:rPr>
        <w:t>công suất dự kiến 250.000 tấn/năm, tổng vốn đầu tư dự kiến 1 tỷ USD, dự kiến đi vào vận hành cuối năm 2028</w:t>
      </w:r>
      <w:r>
        <w:rPr>
          <w:color w:val="000000" w:themeColor="text1"/>
          <w:position w:val="0"/>
        </w:rPr>
        <w:t>, góp phần nâng cao hiệu quả thu hút đầu tư vốn FDI vào Bình Định.</w:t>
      </w:r>
    </w:p>
    <w:p w14:paraId="484FF7BC" w14:textId="77777777" w:rsidR="006B4329" w:rsidRDefault="00D0460A">
      <w:pPr>
        <w:widowControl w:val="0"/>
        <w:spacing w:before="120" w:after="120" w:line="240" w:lineRule="auto"/>
        <w:ind w:leftChars="0" w:left="0" w:firstLineChars="0" w:firstLine="720"/>
        <w:jc w:val="both"/>
        <w:rPr>
          <w:color w:val="000000" w:themeColor="text1"/>
          <w:position w:val="0"/>
        </w:rPr>
      </w:pPr>
      <w:r>
        <w:rPr>
          <w:color w:val="000000" w:themeColor="text1"/>
          <w:position w:val="0"/>
        </w:rPr>
        <w:t>Lũy kế từ đầu năm tới nay, toàn tỉnh thu hút 37 dự án đầu tư với tổng vốn đăng ký đầu tư là 13.631 tỷ đồng (tăng 105,5% về số dự án thu hút đầu tư mới và 408,57% về tổng số vốn đăng ký đầu tư so với cùng kỳ năm 2024); trong đó: có 31 dự án đầu tư trong nước có tổng vốn đăng ký 11.728,8 tỷ đồng và 06 dự án FDI với tổng vốn đầu tư 1.902,1 tỷ đồng (tương đương 75,95 triệu USD), cụ thể:</w:t>
      </w:r>
    </w:p>
    <w:p w14:paraId="484FF7BD" w14:textId="77777777" w:rsidR="006B4329" w:rsidRDefault="00D0460A">
      <w:pPr>
        <w:widowControl w:val="0"/>
        <w:spacing w:before="120" w:after="120" w:line="240" w:lineRule="auto"/>
        <w:ind w:leftChars="0" w:left="0" w:firstLineChars="0" w:firstLine="720"/>
        <w:jc w:val="both"/>
        <w:rPr>
          <w:color w:val="000000" w:themeColor="text1"/>
          <w:position w:val="0"/>
        </w:rPr>
      </w:pPr>
      <w:r>
        <w:rPr>
          <w:color w:val="000000" w:themeColor="text1"/>
          <w:position w:val="0"/>
        </w:rPr>
        <w:t>- Dự án phân theo lĩnh vực gồm: 26 dự án thuộc lĩnh vực Công nghiệp; 03 dự án thuộc lĩnh vực Nông, lâm nghiệp và thuỷ sản; 03 dự án thuộc lĩnh vực thương mại dịch vụ - du lịch và 05 dự án thuộc lĩnh vực xây dựng - hạ tầng.</w:t>
      </w:r>
    </w:p>
    <w:p w14:paraId="484FF7BE" w14:textId="77777777" w:rsidR="006B4329" w:rsidRDefault="00D0460A">
      <w:pPr>
        <w:widowControl w:val="0"/>
        <w:spacing w:before="120" w:after="120" w:line="240" w:lineRule="auto"/>
        <w:ind w:leftChars="0" w:left="0" w:firstLineChars="0" w:firstLine="720"/>
        <w:jc w:val="both"/>
        <w:rPr>
          <w:color w:val="000000" w:themeColor="text1"/>
          <w:position w:val="0"/>
        </w:rPr>
      </w:pPr>
      <w:r>
        <w:rPr>
          <w:color w:val="000000" w:themeColor="text1"/>
          <w:position w:val="0"/>
        </w:rPr>
        <w:t xml:space="preserve">- Phân theo địa bàn: 14 dự án trong KKT, KCN; 16 dự án trong CCN và 07 </w:t>
      </w:r>
      <w:r>
        <w:rPr>
          <w:color w:val="000000" w:themeColor="text1"/>
          <w:position w:val="0"/>
        </w:rPr>
        <w:lastRenderedPageBreak/>
        <w:t>dự án ngoài KKT, KCN, CCN. Cụ thể:</w:t>
      </w:r>
    </w:p>
    <w:p w14:paraId="484FF7BF" w14:textId="218C83EF" w:rsidR="006B4329" w:rsidRDefault="00D0460A">
      <w:pPr>
        <w:widowControl w:val="0"/>
        <w:spacing w:before="120" w:after="120" w:line="240" w:lineRule="auto"/>
        <w:ind w:leftChars="0" w:left="0" w:firstLineChars="0" w:firstLine="720"/>
        <w:jc w:val="both"/>
        <w:rPr>
          <w:color w:val="000000" w:themeColor="text1"/>
          <w:position w:val="0"/>
        </w:rPr>
      </w:pPr>
      <w:r>
        <w:rPr>
          <w:color w:val="000000" w:themeColor="text1"/>
          <w:position w:val="0"/>
        </w:rPr>
        <w:t>+ Ngoài KKT, KCN: 23 dự án (chỉ tiêu giao năm 2025 là 70 dự án) bao gồm: Huyện Phù Mỹ 06 dự án (đạt 6/11 chỉ tiêu UBND tỉnh giao); Huyện Tây Sơn 05 dự án</w:t>
      </w:r>
      <w:r w:rsidR="00491E9A">
        <w:rPr>
          <w:color w:val="000000" w:themeColor="text1"/>
          <w:position w:val="0"/>
        </w:rPr>
        <w:t xml:space="preserve"> </w:t>
      </w:r>
      <w:r>
        <w:rPr>
          <w:color w:val="000000" w:themeColor="text1"/>
          <w:position w:val="0"/>
        </w:rPr>
        <w:t>(đạt 5/10 chỉ tiêu UBND tỉnh giao); Thành phố Quy Nhơn 03 dự án (đạt 3/4 chỉ tiêu UBND tỉnh giao); Huyện Phù Cát 03 dự án (đạt 3/10 chỉ tiêu UBND tỉnh giao); Huyện Vĩnh Thạnh 03 dự án (đạt 3/3 chỉ tiêu UBND tỉnh giao); Thị xã Hoài Nhơn 01 dự án (đạt 1/7 chỉ tiêu UBND tỉnh giao); Huyện An Lão 01 dự án (đạt 1/4 chỉ tiêu UBND tỉnh giao); Huyện Vân Canh 01 dự án (đạt 1/5 chỉ tiêu UBND tỉnh giao).</w:t>
      </w:r>
    </w:p>
    <w:p w14:paraId="484FF7C0" w14:textId="77777777" w:rsidR="006B4329" w:rsidRDefault="00D0460A">
      <w:pPr>
        <w:widowControl w:val="0"/>
        <w:spacing w:before="120" w:after="120" w:line="240" w:lineRule="auto"/>
        <w:ind w:leftChars="0" w:left="0" w:firstLineChars="0" w:firstLine="720"/>
        <w:jc w:val="both"/>
        <w:rPr>
          <w:color w:val="000000" w:themeColor="text1"/>
          <w:position w:val="0"/>
        </w:rPr>
      </w:pPr>
      <w:r>
        <w:rPr>
          <w:color w:val="000000" w:themeColor="text1"/>
          <w:position w:val="0"/>
        </w:rPr>
        <w:t>+ Trong KKT, KCN: 14 dự án (chỉ tiêu giao năm 2025 là 30 dự án).</w:t>
      </w:r>
    </w:p>
    <w:p w14:paraId="484FF7C1" w14:textId="574C653A" w:rsidR="006B4329" w:rsidRDefault="00D0460A">
      <w:pPr>
        <w:widowControl w:val="0"/>
        <w:spacing w:before="120" w:after="120" w:line="240" w:lineRule="auto"/>
        <w:ind w:leftChars="0" w:left="0" w:firstLineChars="0" w:firstLine="720"/>
        <w:jc w:val="both"/>
        <w:rPr>
          <w:color w:val="000000" w:themeColor="text1"/>
        </w:rPr>
      </w:pPr>
      <w:r>
        <w:rPr>
          <w:i/>
          <w:color w:val="000000" w:themeColor="text1"/>
          <w:position w:val="0"/>
        </w:rPr>
        <w:t xml:space="preserve">Về phát triển doanh nghiệp: </w:t>
      </w:r>
      <w:r>
        <w:rPr>
          <w:color w:val="000000" w:themeColor="text1"/>
          <w:position w:val="0"/>
        </w:rPr>
        <w:t>Trong 4 tháng đầu năm 2025 đã cấp Giấy chứng nhận đăng ký doanh nghiệp cho 4</w:t>
      </w:r>
      <w:r w:rsidR="00491E9A">
        <w:rPr>
          <w:color w:val="000000" w:themeColor="text1"/>
          <w:position w:val="0"/>
        </w:rPr>
        <w:t>51</w:t>
      </w:r>
      <w:r>
        <w:rPr>
          <w:color w:val="000000" w:themeColor="text1"/>
          <w:position w:val="0"/>
        </w:rPr>
        <w:t xml:space="preserve"> doanh nghiệp thành lập mới với tổng vốn đăng ký 5.</w:t>
      </w:r>
      <w:r w:rsidR="00491E9A">
        <w:rPr>
          <w:color w:val="000000" w:themeColor="text1"/>
          <w:position w:val="0"/>
        </w:rPr>
        <w:t>453</w:t>
      </w:r>
      <w:r>
        <w:rPr>
          <w:color w:val="000000" w:themeColor="text1"/>
          <w:position w:val="0"/>
        </w:rPr>
        <w:t xml:space="preserve"> tỷ đồng. So với cùng kỳ năm trước, tăng 1</w:t>
      </w:r>
      <w:r w:rsidR="00491E9A">
        <w:rPr>
          <w:color w:val="000000" w:themeColor="text1"/>
          <w:position w:val="0"/>
        </w:rPr>
        <w:t>4,17</w:t>
      </w:r>
      <w:r>
        <w:rPr>
          <w:color w:val="000000" w:themeColor="text1"/>
          <w:position w:val="0"/>
        </w:rPr>
        <w:t>% về số doanh nghiệp đăng ký và tăng 14</w:t>
      </w:r>
      <w:r w:rsidR="00491E9A">
        <w:rPr>
          <w:color w:val="000000" w:themeColor="text1"/>
          <w:position w:val="0"/>
        </w:rPr>
        <w:t>3,6</w:t>
      </w:r>
      <w:r>
        <w:rPr>
          <w:color w:val="000000" w:themeColor="text1"/>
          <w:position w:val="0"/>
        </w:rPr>
        <w:t>% về vốn đăng ký. Trong kỳ có 2</w:t>
      </w:r>
      <w:r w:rsidR="00491E9A">
        <w:rPr>
          <w:color w:val="000000" w:themeColor="text1"/>
          <w:position w:val="0"/>
        </w:rPr>
        <w:t>4</w:t>
      </w:r>
      <w:r>
        <w:rPr>
          <w:color w:val="000000" w:themeColor="text1"/>
          <w:position w:val="0"/>
        </w:rPr>
        <w:t xml:space="preserve"> doanh nghiệp giải thể; 59</w:t>
      </w:r>
      <w:r w:rsidR="00491E9A">
        <w:rPr>
          <w:color w:val="000000" w:themeColor="text1"/>
          <w:position w:val="0"/>
        </w:rPr>
        <w:t xml:space="preserve">7 </w:t>
      </w:r>
      <w:r>
        <w:rPr>
          <w:color w:val="000000" w:themeColor="text1"/>
          <w:position w:val="0"/>
        </w:rPr>
        <w:t>doanh nghiệp tạm ngừng hoạt động; 2</w:t>
      </w:r>
      <w:r w:rsidR="00491E9A">
        <w:rPr>
          <w:color w:val="000000" w:themeColor="text1"/>
          <w:position w:val="0"/>
        </w:rPr>
        <w:t>21</w:t>
      </w:r>
      <w:r>
        <w:rPr>
          <w:color w:val="000000" w:themeColor="text1"/>
          <w:position w:val="0"/>
        </w:rPr>
        <w:t xml:space="preserve"> doanh nghiệp hoạt động trở lại.</w:t>
      </w:r>
    </w:p>
    <w:p w14:paraId="484FF7C2" w14:textId="77777777" w:rsidR="006B4329" w:rsidRDefault="00D0460A">
      <w:pPr>
        <w:widowControl w:val="0"/>
        <w:spacing w:before="120" w:after="120" w:line="240" w:lineRule="auto"/>
        <w:ind w:leftChars="0" w:left="0" w:firstLineChars="0" w:firstLine="720"/>
        <w:jc w:val="both"/>
        <w:rPr>
          <w:b/>
          <w:color w:val="000000" w:themeColor="text1"/>
        </w:rPr>
      </w:pPr>
      <w:r>
        <w:rPr>
          <w:b/>
          <w:color w:val="000000" w:themeColor="text1"/>
        </w:rPr>
        <w:t>6. Về văn hoá - xã hội</w:t>
      </w:r>
    </w:p>
    <w:p w14:paraId="484FF7C3" w14:textId="77777777" w:rsidR="006B4329" w:rsidRDefault="00D0460A">
      <w:pPr>
        <w:widowControl w:val="0"/>
        <w:spacing w:before="120" w:after="120" w:line="240" w:lineRule="auto"/>
        <w:ind w:leftChars="0" w:left="0" w:firstLineChars="0" w:firstLine="720"/>
        <w:jc w:val="both"/>
        <w:rPr>
          <w:color w:val="000000" w:themeColor="text1"/>
        </w:rPr>
      </w:pPr>
      <w:r>
        <w:rPr>
          <w:i/>
          <w:color w:val="000000" w:themeColor="text1"/>
        </w:rPr>
        <w:t>Về giáo dục và đào tạo</w:t>
      </w:r>
      <w:r>
        <w:rPr>
          <w:color w:val="000000" w:themeColor="text1"/>
        </w:rPr>
        <w:t>: Tiếp tục chỉ đạo tổ chức dạy học đảm bảo theo kế hoạch. Thực hiện ban hành các văn bản chỉ đạo việc chuẩn bị tổ chức Kỳ thi tốt nghiệp THPT năm 2025 và tuyển sinh vào các lớp đầu cấp năm học 2025 - 2026; thực hiện tuyển dụng viên chức nguồn nhân lực chất lượng cao của Sở năm học 2024 - 2025. Triển khai Phương án sắp xếp tổ chức quản lý các Trung tâm Giáo dục nghề nghiệp - Giáo dục thường xuyên theo mô hình chính quyền địa phương 02 cấp; bảo đảm duy trì, nâng cao chất lượng hiệu quả hoạt động của các cơ sở giáo dục công lập tại các đơn vị hành chính khi thực hiện mô hình chính quyền địa phương 02 cấp.</w:t>
      </w:r>
    </w:p>
    <w:p w14:paraId="484FF7C4" w14:textId="77777777" w:rsidR="006B4329" w:rsidRDefault="00D0460A">
      <w:pPr>
        <w:widowControl w:val="0"/>
        <w:spacing w:before="120" w:after="120" w:line="240" w:lineRule="auto"/>
        <w:ind w:leftChars="0" w:left="0" w:firstLineChars="0" w:firstLine="720"/>
        <w:jc w:val="both"/>
        <w:rPr>
          <w:color w:val="000000" w:themeColor="text1"/>
        </w:rPr>
      </w:pPr>
      <w:r>
        <w:rPr>
          <w:i/>
          <w:color w:val="000000" w:themeColor="text1"/>
        </w:rPr>
        <w:t>Về văn hóa và thể thao</w:t>
      </w:r>
      <w:r>
        <w:rPr>
          <w:color w:val="000000" w:themeColor="text1"/>
        </w:rPr>
        <w:t xml:space="preserve">: Phong trào toàn dân đoàn kết xây dựng đời sống văn hóa ở khu dân cư tiếp tục triển khai thực hiện có hiệu quả ở một số địa phương. Các hoạt động thể thao quần chúng, các giải thi đấu thể thao trong tỉnh được triển khai theo kế hoạch. Tổ chức thành công </w:t>
      </w:r>
      <w:r>
        <w:rPr>
          <w:color w:val="000000" w:themeColor="text1"/>
          <w:highlight w:val="white"/>
        </w:rPr>
        <w:t>Đại hội Cháu ngoan Bác Hồ tỉnh Bình Định lần thứ XVII năm 2025 với chủ đề “Thiếu nhi Bình Định - Đoàn kết, chăm ngoan, vâng lời Bác dạy”; Giải Việt dã nhân dịp kỷ niệm 50 năm Ngày Giải phóng miền Nam, thống nhất đất nước (30/4/1975 - 30/4/2025), ngày Quốc tế Lao động (1/5) và Hưởng ứng Tháng Công nhân năm 2025.</w:t>
      </w:r>
    </w:p>
    <w:p w14:paraId="484FF7C5" w14:textId="77777777" w:rsidR="006B4329" w:rsidRDefault="00D0460A">
      <w:pPr>
        <w:widowControl w:val="0"/>
        <w:spacing w:before="120" w:after="120" w:line="240" w:lineRule="auto"/>
        <w:ind w:leftChars="0" w:left="0" w:firstLineChars="0" w:firstLine="720"/>
        <w:jc w:val="both"/>
        <w:rPr>
          <w:color w:val="000000" w:themeColor="text1"/>
        </w:rPr>
      </w:pPr>
      <w:r>
        <w:rPr>
          <w:i/>
          <w:color w:val="000000" w:themeColor="text1"/>
        </w:rPr>
        <w:t xml:space="preserve">Về y tế: </w:t>
      </w:r>
      <w:r>
        <w:rPr>
          <w:color w:val="000000" w:themeColor="text1"/>
        </w:rPr>
        <w:t>Công tác phòng, chống dịch bệnh được tập trung triển khai kịp thời, hiệu quả. Đảm bảo đầy đủ thuốc, hóa chất, vật tư, thiết bị phòng chống dịch bệnh trên địa bàn tỉnh. Bên cạnh đó, công tác y tế dự phòng, khám chữa bệnh, chăm sóc sức khỏe nhân dân, công tác dân số - kế hoạch hóa gia đình tiếp tục được quan tâm. Duy trì thường xuyên hoạt động truyền thông, tuyên truyền trên các phương tiện thông tin đại chúng về phòng chống dịch bệnh, đảm bảo vệ sinh an toàn thực phẩm và giám sát các nguy cơ ô nhiễm thực phẩm trong cộng đồng.</w:t>
      </w:r>
    </w:p>
    <w:p w14:paraId="484FF7C6"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 xml:space="preserve">Thường xuyên chỉ đạo, giám sát, kiểm tra các cơ sở khám bệnh, chữa bệnh triển khai thực hiện, tuân thủ các quy trình chuyên môn, kỹ thuật theo quy định của Bộ Y tế; tiếp tục đẩy mạnh cải cách thủ tục hành chính, cải tiến quy trình khám bệnh; </w:t>
      </w:r>
      <w:r>
        <w:rPr>
          <w:color w:val="000000" w:themeColor="text1"/>
        </w:rPr>
        <w:lastRenderedPageBreak/>
        <w:t>triển khai các giải pháp nâng cao chất lượng cung ứng dịch vụ và cải thiện các điều kiện phục vụ sinh hoạt của người bệnh; nâng cao tinh thần trách nhiệm và phong cách, thái độ phục vụ của nhân viên y tế, đi đôi với đảm bảo vệ sinh môi trường và tạo dựng cảnh quan cơ sở y tế “xanh, sạch, đẹp” hướng tới sự hài lòng của người bệnh.</w:t>
      </w:r>
    </w:p>
    <w:p w14:paraId="484FF7C7" w14:textId="77777777" w:rsidR="006B4329" w:rsidRDefault="00D0460A">
      <w:pPr>
        <w:widowControl w:val="0"/>
        <w:spacing w:before="120" w:after="120" w:line="240" w:lineRule="auto"/>
        <w:ind w:leftChars="0" w:left="0" w:firstLineChars="0" w:firstLine="720"/>
        <w:jc w:val="both"/>
        <w:rPr>
          <w:color w:val="000000" w:themeColor="text1"/>
        </w:rPr>
      </w:pPr>
      <w:r>
        <w:rPr>
          <w:i/>
          <w:color w:val="000000" w:themeColor="text1"/>
        </w:rPr>
        <w:t>Về lao động, việc làm, an sinh xã hội</w:t>
      </w:r>
      <w:r>
        <w:rPr>
          <w:color w:val="000000" w:themeColor="text1"/>
        </w:rPr>
        <w:t xml:space="preserve">: Công tác an sinh xã hội, chăm lo đời sống cho các đối tượng chính sách tiếp tục được thực hiện. Tiếp tục giải quyết chế độ trợ cấp cho các trường hợp người có công với cách mạng và thân nhân theo quy định. Các Hội nghị, diễn đàn về hướng nghiệp; tư vấn </w:t>
      </w:r>
      <w:r>
        <w:rPr>
          <w:color w:val="000000" w:themeColor="text1"/>
          <w:highlight w:val="white"/>
        </w:rPr>
        <w:t xml:space="preserve">xuất khẩu lao động; </w:t>
      </w:r>
      <w:r>
        <w:rPr>
          <w:color w:val="000000" w:themeColor="text1"/>
        </w:rPr>
        <w:t>nâng cao năng lực và hiệu quả quản lý về an toàn, vệ sinh lao động,… tiếp tục được duy trì và triển khai có hiệu quả.</w:t>
      </w:r>
    </w:p>
    <w:p w14:paraId="484FF7C8"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Công tác bảo vệ, chăm sóc trẻ em tiếp tục được duy trì. Các ngành, địa phương đều tổ chức thăm hỏi các gia đình chính sách, đối tượng người có công nhân dịp kỷ niệm 50 năm giải phóng hoàn toàn Miền nam thống nhất đất nước (30/4/1975 - 30/4/2025).</w:t>
      </w:r>
    </w:p>
    <w:p w14:paraId="484FF7C9"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Trong tháng 4, Lãnh đạo tỉnh cùng với các sở, ban, ngành và địa phương có liên quan đã triển khai đi kiểm tra thực tế việc thực hiện chương trình xóa nhà tạm, nhà dột nát tại các xã trên địa bàn huyện An Lão; thăm hỏi và tặng quà gia đình chính sách tiêu biểu, nhân kỷ niệm 50 năm ngày Giải phóng miền Nam, thống nhất đất nước và kiểm tra thực tế việc triển khai thực hiện chương trình xóa nhà tạm, nhà dột nát tại thị trấn Vân Canh, huyện Vân Canh.</w:t>
      </w:r>
    </w:p>
    <w:p w14:paraId="4DFFB72B" w14:textId="77777777" w:rsidR="003106B6" w:rsidRPr="003106B6" w:rsidRDefault="003106B6" w:rsidP="003106B6">
      <w:pPr>
        <w:widowControl w:val="0"/>
        <w:spacing w:before="120" w:after="120" w:line="240" w:lineRule="auto"/>
        <w:ind w:leftChars="0" w:firstLineChars="0" w:firstLine="720"/>
        <w:jc w:val="both"/>
        <w:rPr>
          <w:color w:val="000000" w:themeColor="text1"/>
        </w:rPr>
      </w:pPr>
      <w:r w:rsidRPr="003106B6">
        <w:rPr>
          <w:color w:val="000000" w:themeColor="text1"/>
        </w:rPr>
        <w:t>- Về công tác xóa nhà tạm nhà dột nát (số liệu đến ngày 29/4/2025): Tổng số hộ thực hiện: 4.412 hộ (xây mới: 2.535 hộ; sửa chữa: 1.877 hộ). Khởi công và đang thực hiện: 4.409 hộ (xây mới: 2.532 hộ; sửa chữa: 1.877 hộ), đạt 99,9% (Còn lại 03 hộ chưa khởi công, lý do gia đình có người thân mất, đang còn tang). Đã hoàn thành đưa vào sử dụng: 3.608 hộ (xây mới: 1.773 hộ; sửa chữa: 1.835 hộ), đạt 82%. Trong đó:</w:t>
      </w:r>
    </w:p>
    <w:p w14:paraId="6622BB25" w14:textId="77777777" w:rsidR="003106B6" w:rsidRPr="003106B6" w:rsidRDefault="003106B6" w:rsidP="003106B6">
      <w:pPr>
        <w:widowControl w:val="0"/>
        <w:spacing w:before="120" w:after="120" w:line="240" w:lineRule="auto"/>
        <w:ind w:leftChars="0" w:firstLineChars="0" w:firstLine="720"/>
        <w:jc w:val="both"/>
        <w:rPr>
          <w:color w:val="000000" w:themeColor="text1"/>
        </w:rPr>
      </w:pPr>
      <w:r w:rsidRPr="003106B6">
        <w:rPr>
          <w:color w:val="000000" w:themeColor="text1"/>
        </w:rPr>
        <w:t xml:space="preserve">+ Các huyện, thị xã đã hoàn thành 100% mục tiêu xoá nhà tạm (03 đơn vị: Các huyện Tuy Phước (114 hộ), Tây Sơn (278 hộ), thị xã An Nhơn (72 hộ)); </w:t>
      </w:r>
    </w:p>
    <w:p w14:paraId="5D726211" w14:textId="77777777" w:rsidR="003106B6" w:rsidRPr="003106B6" w:rsidRDefault="003106B6" w:rsidP="003106B6">
      <w:pPr>
        <w:widowControl w:val="0"/>
        <w:spacing w:before="120" w:after="120" w:line="240" w:lineRule="auto"/>
        <w:ind w:leftChars="0" w:firstLineChars="0" w:firstLine="720"/>
        <w:jc w:val="both"/>
        <w:rPr>
          <w:color w:val="000000" w:themeColor="text1"/>
        </w:rPr>
      </w:pPr>
      <w:r w:rsidRPr="003106B6">
        <w:rPr>
          <w:color w:val="000000" w:themeColor="text1"/>
        </w:rPr>
        <w:t xml:space="preserve">+ Các huyện có tỷ lệ đạt trên 80% (05 đơn vị: Các huyện Phù Cát (96%), Phù Mỹ (94%), Vĩnh Thạnh (84%), An Lão (85%) và thành phố Quy Nhơn (87%)); </w:t>
      </w:r>
    </w:p>
    <w:p w14:paraId="2C84C536" w14:textId="08290809" w:rsidR="003106B6" w:rsidRDefault="003106B6" w:rsidP="003106B6">
      <w:pPr>
        <w:widowControl w:val="0"/>
        <w:spacing w:before="120" w:after="120" w:line="240" w:lineRule="auto"/>
        <w:ind w:leftChars="0" w:left="0" w:firstLineChars="0" w:firstLine="720"/>
        <w:jc w:val="both"/>
        <w:rPr>
          <w:color w:val="000000" w:themeColor="text1"/>
        </w:rPr>
      </w:pPr>
      <w:r w:rsidRPr="003106B6">
        <w:rPr>
          <w:color w:val="000000" w:themeColor="text1"/>
        </w:rPr>
        <w:t>+ Các huyện dưới 70% (02 huyện Hoài Ân (64%), Vân Canh (65%)).</w:t>
      </w:r>
    </w:p>
    <w:p w14:paraId="484FF7CA" w14:textId="77777777" w:rsidR="006B4329" w:rsidRDefault="00D0460A">
      <w:pPr>
        <w:widowControl w:val="0"/>
        <w:spacing w:before="120" w:after="120" w:line="240" w:lineRule="auto"/>
        <w:ind w:leftChars="0" w:left="0" w:firstLineChars="0" w:firstLine="720"/>
        <w:jc w:val="both"/>
        <w:rPr>
          <w:color w:val="000000" w:themeColor="text1"/>
        </w:rPr>
      </w:pPr>
      <w:r>
        <w:rPr>
          <w:i/>
          <w:color w:val="000000" w:themeColor="text1"/>
        </w:rPr>
        <w:t>Về khoa học và công nghệ, thông tin và truyền thông</w:t>
      </w:r>
      <w:r>
        <w:rPr>
          <w:color w:val="000000" w:themeColor="text1"/>
        </w:rPr>
        <w:t xml:space="preserve">: Tiếp tục tập trung tuyên truyền chủ trương về thúc đẩy sản xuất; chống kinh doanh, sản xuất hàng giả; chống buôn lậu, kiểm soát giá cả thị trường, đảm bảo vệ sinh an toàn thực phẩm, ngăn ngừa các thông tin sai lệch gây tác động xấu đến sản xuất kinh doanh và tâm lý người tiêu dùng; thực hiện Chương trình hành động theo Nghị quyết số 03/NQ-CP ngày 12/01/2025 của Chính phủ và Chương trình hành động của Ban Thường vụ Tỉnh tỉnh ủy thực hiện Nghị quyết số 57-NQ/TW ngày 22/12/2024 của Bộ Chính trị về đột phá phát triển khoa học, công nghệ, đổi mới sáng tạo và chuyển đổi số quốc gia theo Kế hoạch đề ra; thực hiện rà soát, sửa đổi, xây dựng, ban hành cơ chế, chính sách </w:t>
      </w:r>
      <w:r>
        <w:rPr>
          <w:color w:val="000000" w:themeColor="text1"/>
        </w:rPr>
        <w:lastRenderedPageBreak/>
        <w:t>đặc thù của tỉnh để hỗ trợ, thúc đẩy phát triển các doanh nghiệp chuyển đổi số toàn diện, hiệu quả; tạo môi trường, điều kiện thuận lợi thúc đẩy hoạt động thu hút các doanh nghiệp số đầu tư vào tỉnh.</w:t>
      </w:r>
    </w:p>
    <w:p w14:paraId="484FF7CB" w14:textId="77777777" w:rsidR="006B4329" w:rsidRDefault="00D0460A">
      <w:pPr>
        <w:widowControl w:val="0"/>
        <w:spacing w:before="120" w:after="120" w:line="240" w:lineRule="auto"/>
        <w:ind w:leftChars="0" w:left="0" w:firstLineChars="0" w:firstLine="720"/>
        <w:jc w:val="both"/>
        <w:rPr>
          <w:b/>
          <w:color w:val="000000" w:themeColor="text1"/>
        </w:rPr>
      </w:pPr>
      <w:r>
        <w:rPr>
          <w:b/>
          <w:color w:val="000000" w:themeColor="text1"/>
        </w:rPr>
        <w:t>7.</w:t>
      </w:r>
      <w:r>
        <w:rPr>
          <w:color w:val="000000" w:themeColor="text1"/>
        </w:rPr>
        <w:t xml:space="preserve"> </w:t>
      </w:r>
      <w:r>
        <w:rPr>
          <w:b/>
          <w:color w:val="000000" w:themeColor="text1"/>
        </w:rPr>
        <w:t>Về công tác nội chính</w:t>
      </w:r>
    </w:p>
    <w:p w14:paraId="484FF7CC"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Trong tháng 4, đã thực hiện điều chỉnh biên chế công chức và số lượng người làm việc hưởng lương từ ngân sách nhà nước của các Sở, ngành sau khi hợp nhất, chuyển giao, tiếp nhận nhiệm vụ theo Quyết định số 1228/QĐ-UBND ngày 09/4/2025 của UBND tỉnh.</w:t>
      </w:r>
    </w:p>
    <w:p w14:paraId="484FF7CD"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Công tác cải cách hành chính, trọng tâm là cải cách thủ tục hành chính tiếp tục được quan tâm, thực hiện theo Phương án cắt giảm thời gian giải quyết, chi phí tuân thủ thủ tục hành chính thuộc phạm vi, trách nhiệm thực hiện của các cơ quan, đơn vị, địa phương trên địa bàn tỉnh Bình Định được thông qua tại Quyết định số 1422/QĐ-UBND ngày 24/4/2025 của UBND tỉnh.</w:t>
      </w:r>
    </w:p>
    <w:p w14:paraId="63B453ED" w14:textId="54E3CEEC" w:rsidR="006F5B78" w:rsidRDefault="006F5B78">
      <w:pPr>
        <w:widowControl w:val="0"/>
        <w:spacing w:before="120" w:after="120" w:line="240" w:lineRule="auto"/>
        <w:ind w:leftChars="0" w:left="0" w:firstLineChars="0" w:firstLine="720"/>
        <w:jc w:val="both"/>
        <w:rPr>
          <w:color w:val="000000" w:themeColor="text1"/>
        </w:rPr>
      </w:pPr>
      <w:r w:rsidRPr="006F5B78">
        <w:rPr>
          <w:color w:val="000000" w:themeColor="text1"/>
        </w:rPr>
        <w:t>Theo kết quả công bố Chỉ số năng lực cạnh tranh cấp tỉnh (PCI) năm 2024, chỉ số PCI của tỉnh Bình Định năm 2024 đạt 68,10 điểm, xếp thứ 27/63 tỉnh, thành phố của cả nước (giảm 2 bậc so với năm 2023).</w:t>
      </w:r>
    </w:p>
    <w:p w14:paraId="484FF7CE"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Công tác thanh tra tiếp tục được triển khai thực hiện có trọng tâm, trọng điểm, bám sát kế hoạch thanh tra đã được phê duyệt, góp phần chấn chỉnh, khắc phục những sơ hở, thiếu sót, nâng cao hiệu lực, hiệu quả công tác quản lý nhà nước trên địa bàn tỉnh. Công tác tiếp dân và xử lý đơn thư khiếu nại, tố cáo được thực hiện thường xuyên, giải quyết kịp thời những vụ việc bức xúc, đông người, nhất là các vụ việc liên quan đến công tác thu hồi đất, bồi thường giải phóng mặt bằng thi công các công trình trọng điểm trên địa bàn tỉnh.</w:t>
      </w:r>
    </w:p>
    <w:p w14:paraId="484FF7CF"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Tình hình an ninh chính trị và trật tự an toàn xã hội cơ bản ổn định</w:t>
      </w:r>
      <w:r>
        <w:rPr>
          <w:i/>
          <w:color w:val="000000" w:themeColor="text1"/>
        </w:rPr>
        <w:t>,</w:t>
      </w:r>
      <w:r>
        <w:rPr>
          <w:color w:val="000000" w:themeColor="text1"/>
        </w:rPr>
        <w:t xml:space="preserve"> công tác triển khai kế hoạch bảo vệ các ngày Lễ lớn của tỉnh và cả nước được quan tâm chú trọng. Trong tháng 4, trên địa bàn tỉnh xảy ra 27 vụ tai nạn giao thông, giảm 33,3%;</w:t>
      </w:r>
      <w:r>
        <w:rPr>
          <w:i/>
          <w:color w:val="000000" w:themeColor="text1"/>
        </w:rPr>
        <w:t xml:space="preserve"> </w:t>
      </w:r>
      <w:r>
        <w:rPr>
          <w:color w:val="000000" w:themeColor="text1"/>
        </w:rPr>
        <w:t>số người chết là 22 người (bằng với cùng kỳ năm trước); số người bị thương là 9 người, giảm 64%</w:t>
      </w:r>
      <w:r>
        <w:rPr>
          <w:i/>
          <w:color w:val="000000" w:themeColor="text1"/>
        </w:rPr>
        <w:t xml:space="preserve"> </w:t>
      </w:r>
      <w:r>
        <w:rPr>
          <w:color w:val="000000" w:themeColor="text1"/>
        </w:rPr>
        <w:t>so với cùng kỳ năm trước. Tính chung 4 tháng đầu năm 2025, có 132 vụ tai nạn giao thông, giảm 27,3%;</w:t>
      </w:r>
      <w:r>
        <w:rPr>
          <w:i/>
          <w:color w:val="000000" w:themeColor="text1"/>
        </w:rPr>
        <w:t xml:space="preserve"> </w:t>
      </w:r>
      <w:r>
        <w:rPr>
          <w:color w:val="000000" w:themeColor="text1"/>
        </w:rPr>
        <w:t>số người chết là 83 người, tăng 20%; số người bị thương là 77 người, giảm 51,9% so với cùng kỳ năm trước.</w:t>
      </w:r>
    </w:p>
    <w:p w14:paraId="484FF7D0" w14:textId="77777777" w:rsidR="006B4329" w:rsidRDefault="00D0460A">
      <w:pPr>
        <w:widowControl w:val="0"/>
        <w:spacing w:before="120" w:after="120" w:line="240" w:lineRule="auto"/>
        <w:ind w:leftChars="0" w:left="0" w:firstLineChars="0" w:firstLine="720"/>
        <w:jc w:val="both"/>
        <w:rPr>
          <w:b/>
          <w:color w:val="000000" w:themeColor="text1"/>
        </w:rPr>
      </w:pPr>
      <w:r>
        <w:rPr>
          <w:b/>
          <w:color w:val="000000" w:themeColor="text1"/>
        </w:rPr>
        <w:t>II. CÔNG TÁC TRỌNG TÂM THÁNG 5/2025</w:t>
      </w:r>
    </w:p>
    <w:p w14:paraId="484FF7D1"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 xml:space="preserve">Trong thời gian đến, các cấp, các ngành, các địa phương trong tỉnh tập trung triển khai thực hiện nhiệm vụ kế hoạch năm 2025, nhất là các chỉ tiêu, giải pháp, nhiệm vụ chủ yếu thực hiện kế hoạch phát triển kinh tế - xã hội và ngân sách nhà nước năm 2025 theo Quyết định số 4379/QĐ-UBND ngày 19/12/2024, Công văn số 10039/UBND-TH ngày 11/12/2024, Kế hoạch số 34/KH-UBND ngày 20/02/2025 của UBND tỉnh và ý kiến kết luận chỉ đạo của Chủ tịch UBND tỉnh, các lãnh đạo UBND tỉnh tại các Hội nghị, buổi làm việc với các cơ quan, đơn vị, địa phương. Theo dõi sát tình hình thực tiễn, xử lý kịp thời những vấn đề phát sinh; tiếp tục đổi mới phương thức quản lý, điều hành bằng những việc làm cụ thể, thiết thực theo từng tháng, quý; đồng thời, tổ chức triển khai thực hiện tốt các nhiệm vụ trọng tâm </w:t>
      </w:r>
      <w:r>
        <w:rPr>
          <w:color w:val="000000" w:themeColor="text1"/>
        </w:rPr>
        <w:lastRenderedPageBreak/>
        <w:t>như sau:</w:t>
      </w:r>
    </w:p>
    <w:p w14:paraId="484FF7D2" w14:textId="77777777" w:rsidR="006B4329" w:rsidRDefault="00D0460A">
      <w:pPr>
        <w:widowControl w:val="0"/>
        <w:spacing w:before="120" w:after="120" w:line="240" w:lineRule="auto"/>
        <w:ind w:leftChars="0" w:left="0" w:firstLineChars="0" w:firstLine="720"/>
        <w:jc w:val="both"/>
        <w:rPr>
          <w:bCs/>
          <w:color w:val="000000" w:themeColor="text1"/>
          <w:lang w:val="pt-BR"/>
        </w:rPr>
      </w:pPr>
      <w:r>
        <w:rPr>
          <w:b/>
          <w:color w:val="000000" w:themeColor="text1"/>
        </w:rPr>
        <w:t xml:space="preserve">1. </w:t>
      </w:r>
      <w:r>
        <w:rPr>
          <w:i/>
          <w:color w:val="000000" w:themeColor="text1"/>
        </w:rPr>
        <w:t>Về nông, lâm, thủy sản và quản lý tài nguyên, môi trường:</w:t>
      </w:r>
      <w:r>
        <w:rPr>
          <w:color w:val="000000" w:themeColor="text1"/>
        </w:rPr>
        <w:t xml:space="preserve"> </w:t>
      </w:r>
      <w:r>
        <w:rPr>
          <w:bCs/>
          <w:color w:val="000000" w:themeColor="text1"/>
          <w:lang w:val="pt-BR"/>
        </w:rPr>
        <w:t>Phối hợp với các địa phương xây dựng kế hoạch và các giải pháp chỉ đạo sản xuất vụ Hè Thu 2025 phù hợp với điều kiện nắng hạn; kiểm tra, hướng dẫn chăm sóc, phòng trừ sâu bệnh cây trồng vụ Hè Thu 2025. Triển khai thực hiện chính sách hỗ trợ chuyển đổi cơ cấu cây trồng, mùa vụ;</w:t>
      </w:r>
      <w:r>
        <w:rPr>
          <w:bCs/>
          <w:color w:val="000000" w:themeColor="text1"/>
          <w:lang w:val="vi-VN"/>
        </w:rPr>
        <w:t xml:space="preserve"> </w:t>
      </w:r>
      <w:r>
        <w:rPr>
          <w:bCs/>
          <w:color w:val="000000" w:themeColor="text1"/>
          <w:lang w:val="pt-BR"/>
        </w:rPr>
        <w:t>khuyến khích đầu tư, phát triển trồng trọt ứng dụng công nghệ cao, triển khai cấp và quản lý mã số vùng trồng; triển khai Đề án phát triển cây trồng chủ lực và cây ăn quả tỉnh Bình Định đến năm 2025, định hướng đến năm 2030.</w:t>
      </w:r>
    </w:p>
    <w:p w14:paraId="484FF7D3"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lang w:val="nl-NL"/>
        </w:rPr>
        <w:t>Triển khai công tác phát triển sản xuất chăn nuôi; hướng dẫn, triển khai thực hiện chính sách hỗ trợ phát triển chăn nuôi; phối hợp thực hiện đẩy mạnh phát triển chăn nuôi, nhất là chăn nuôi quy mô trang trại, ứng dụng công nghệ cao, chăn nuôi theo hướng an toàn sinh học để giảm thiểu dịch bệnh theo Kế hoạch;</w:t>
      </w:r>
      <w:r>
        <w:rPr>
          <w:bCs/>
          <w:color w:val="000000" w:themeColor="text1"/>
          <w:lang w:val="pt-BR"/>
        </w:rPr>
        <w:t xml:space="preserve"> thực hiện công tác tiêm phòng gia súc, gia cầm đại trà đợt 1 năm 2025 (sau khi tiếp nhận nguồn vaccine viện trợ từ Trung ương cấp) và kế hoạch phòng, chống dịch bệnh động vật, xây dựng vùng, cơ sở chăn nuôi an toàn dịch bệnh; đôn đốc các địa phương xây dựng cơ sở giết động vật tập trung. Tiếp tục phối hợp đôn đốc, hỗ trợ nhà đầu tư đẩy nhanh tiến độ thực hiện các dự án sản xuất, chế biến có quy mô lớn trên lĩnh vực nông nghiệp.</w:t>
      </w:r>
    </w:p>
    <w:p w14:paraId="484FF7D4"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 xml:space="preserve">Tiếp tục triển khai các giải pháp để khắc phục cảnh báo của Ủy ban châu Âu về chống khai thác thủy sản bất hợp pháp, không báo cáo và không theo quy định (IUU). </w:t>
      </w:r>
      <w:r>
        <w:rPr>
          <w:color w:val="000000" w:themeColor="text1"/>
          <w:lang w:val="fi-FI"/>
        </w:rPr>
        <w:t xml:space="preserve">Tăng cường phối hợp với các địa phương quản lý và </w:t>
      </w:r>
      <w:r>
        <w:rPr>
          <w:bCs/>
          <w:iCs/>
          <w:color w:val="000000" w:themeColor="text1"/>
          <w:lang w:val="vi-VN"/>
        </w:rPr>
        <w:t>giám sát trong nuôi trồng thủy sản</w:t>
      </w:r>
      <w:r>
        <w:rPr>
          <w:bCs/>
          <w:iCs/>
          <w:color w:val="000000" w:themeColor="text1"/>
          <w:lang w:val="nl-NL"/>
        </w:rPr>
        <w:t xml:space="preserve">; </w:t>
      </w:r>
      <w:r>
        <w:rPr>
          <w:color w:val="000000" w:themeColor="text1"/>
          <w:lang w:val="nl-NL"/>
        </w:rPr>
        <w:t>hướng dẫn thực hiện, tuân thủ lịch thời vụ năm 2025.</w:t>
      </w:r>
    </w:p>
    <w:p w14:paraId="484FF7D5"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Triển khai các biện pháp để quản lý, bảo vệ rừng; phòng chống cháy rừng trong tình hình nắng nóng, khô hạn; ngăn chặn triệt để tình trạng lấn, chiếm đất lâm nghiệp và khai thác lâm sản trái phép. Xây dựng phương án phòng cháy chữa cháy rừng trong mùa khô, tăng cường lực lượng ở các địa bàn xung yếu có nguy cơ cháy rừng cao.</w:t>
      </w:r>
    </w:p>
    <w:p w14:paraId="484FF7D6"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lang w:val="pt-BR"/>
        </w:rPr>
        <w:t xml:space="preserve">Phối hợp với các sở, ngành liên quan đôn đốc các địa phương </w:t>
      </w:r>
      <w:bookmarkStart w:id="1" w:name="_Hlk194387771"/>
      <w:r>
        <w:rPr>
          <w:color w:val="000000" w:themeColor="text1"/>
          <w:lang w:val="pt-BR"/>
        </w:rPr>
        <w:t xml:space="preserve">hoàn thành hồ sơ đề nghị xét công nhận các xã đạt chuẩn nông thôn mới, nông thôn mới nâng cao, nông thôn mới kiểu mẫu năm 2024 (Đợt 2); </w:t>
      </w:r>
      <w:bookmarkEnd w:id="1"/>
      <w:r>
        <w:rPr>
          <w:color w:val="000000" w:themeColor="text1"/>
          <w:lang w:val="pt-BR"/>
        </w:rPr>
        <w:t>đ</w:t>
      </w:r>
      <w:r>
        <w:rPr>
          <w:color w:val="000000" w:themeColor="text1"/>
          <w:lang w:val="vi-VN"/>
        </w:rPr>
        <w:t>ôn đốc, giám sát tiến độ thực hiện ở các xã đăng ký hoàn thành trong năm 2025; đồng thời có giải pháp củng cố, duy trì các địa phương đã được công nhận.</w:t>
      </w:r>
    </w:p>
    <w:p w14:paraId="484FF7D7"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Tăng cường công tác kiểm tra quản lý đất đai, tài nguyên môi trường; c</w:t>
      </w:r>
      <w:r>
        <w:rPr>
          <w:bCs/>
          <w:color w:val="000000" w:themeColor="text1"/>
          <w:lang w:val="pt-BR"/>
        </w:rPr>
        <w:t>hủ trì, phối hợp với các ngành và chính quyền địa phương kiểm tra các khu vực được cấp phép khai thác khoáng sản. Đề xuất thu hồi giấy phép không triển khai, gây ô nhiễm môi trường và các vi phạm theo quy định. Kiểm tra, hướng dẫn và yêu cầu các doanh nghiệp kịp thời đóng cửa mỏ khi kết thúc khai thác. Tiếp tục phối hợp các đơn vị liên quan triển khai các nội dung thủ tục về cấp mỏ vật liệu phục vụ thi công các công trình trọng điểm trên địa bàn tỉnh và dự án đường bộ cao tốc Bắc -  Nam, đoạn qua tỉnh Bình Định. Hướng dẫn các Doanh nghiệp trúng đấu giá quyền khai thác khoáng sản lập hồ sơ cấp phép thăm dò, khai thác theo quy định.</w:t>
      </w:r>
    </w:p>
    <w:p w14:paraId="484FF7D8" w14:textId="77777777" w:rsidR="006B4329" w:rsidRDefault="00D0460A">
      <w:pPr>
        <w:widowControl w:val="0"/>
        <w:spacing w:before="120" w:after="120" w:line="240" w:lineRule="auto"/>
        <w:ind w:leftChars="0" w:left="0" w:firstLineChars="0" w:firstLine="720"/>
        <w:jc w:val="both"/>
        <w:rPr>
          <w:color w:val="000000" w:themeColor="text1"/>
        </w:rPr>
      </w:pPr>
      <w:r>
        <w:rPr>
          <w:b/>
          <w:color w:val="000000" w:themeColor="text1"/>
        </w:rPr>
        <w:t>2.</w:t>
      </w:r>
      <w:r>
        <w:rPr>
          <w:color w:val="000000" w:themeColor="text1"/>
        </w:rPr>
        <w:t xml:space="preserve"> </w:t>
      </w:r>
      <w:r>
        <w:rPr>
          <w:i/>
          <w:color w:val="000000" w:themeColor="text1"/>
        </w:rPr>
        <w:t>Về công nghiệp - xây dựng:</w:t>
      </w:r>
      <w:r>
        <w:rPr>
          <w:color w:val="000000" w:themeColor="text1"/>
        </w:rPr>
        <w:t xml:space="preserve"> Các cấp, cách ngành tăng cường gặp gỡ, đối </w:t>
      </w:r>
      <w:r>
        <w:rPr>
          <w:color w:val="000000" w:themeColor="text1"/>
        </w:rPr>
        <w:lastRenderedPageBreak/>
        <w:t>thoại với doanh nghiệp, nắm bắt được tình hình sản xuất kinh doanh, các khó khăn, vướng mắc trong quá trình hoạt động và kiến nghị của doanh nghiệp để kịp thời giải quyết, tháo gỡ khó khăn cho doanh nghiệp. Phấn đấu chỉ số sản xuất công nghiệp Quý II năm 2025 tăng từ 10% trở lên so với năm 2024.</w:t>
      </w:r>
    </w:p>
    <w:p w14:paraId="484FF7D9"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Đẩy nhanh tiến độ đầu tư các Khu công nghiệp trọng điểm mới, như: Khu Công nghiệp Hoài Mỹ, Khu Công nghiệp Phù Mỹ; tiến độ triển khai thực hiện di dời các doanh nghiệp, cơ sở sản xuất trong các Cụm công nghiệp như: CCN Nhơn Bình, CCN Quang Trung (TP. Quy Nhơn) và CCN Gò Đá Trắng (TX. An Nhơn).</w:t>
      </w:r>
    </w:p>
    <w:p w14:paraId="484FF7DA"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Đảm bảo cung ứng điện ổn định phục vụ tốt cho phát triển sản xuất công nghiệp, nhất là tại các khu, cụm công nghiệp; tổ chức kiểm tra giám sát việc thực hiện tiết kiệm điện của khách hàng sử dụng điện trên địa bàn tỉnh; tăng cường kiểm tra phòng, chống cháy nổ trong mùa nắng nóng để bảo vệ tài sản và duy trì hoạt động sản xuất kinh doanh.</w:t>
      </w:r>
    </w:p>
    <w:p w14:paraId="484FF7DB"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Tăng cường công tác quản lý đô thị, trật tự và chất lượng xây dựng trên địa bàn tỉnh. Tiếp tục rà soát, chuẩn hóa xây dựng các khu đô thị mới, khu tái định cư trên địa bàn tỉnh gắn với xây dựng hạ tầng đô thị thông minh, hiện đại, đô thị kiểu mẫu. Kiểm tra, rà soát, xử lý đối với chung cư, nhà ở cũ do nhà nước quản lý, đặc biệt là các nhà ở, công trình đã xuống cấp, hư hỏng, không đảm bảo an toàn sử dụng, đề xuất phương án cải tạo, sửa chữa, xử lý, sắp xếp theo quy định.</w:t>
      </w:r>
    </w:p>
    <w:p w14:paraId="484FF7DC" w14:textId="77777777" w:rsidR="006B4329" w:rsidRDefault="00D0460A">
      <w:pPr>
        <w:widowControl w:val="0"/>
        <w:spacing w:before="120" w:after="120" w:line="240" w:lineRule="auto"/>
        <w:ind w:leftChars="0" w:left="0" w:firstLineChars="0" w:firstLine="720"/>
        <w:jc w:val="both"/>
        <w:rPr>
          <w:color w:val="000000" w:themeColor="text1"/>
        </w:rPr>
      </w:pPr>
      <w:r>
        <w:rPr>
          <w:b/>
          <w:color w:val="000000" w:themeColor="text1"/>
        </w:rPr>
        <w:t xml:space="preserve">3. </w:t>
      </w:r>
      <w:r>
        <w:rPr>
          <w:i/>
          <w:color w:val="000000" w:themeColor="text1"/>
        </w:rPr>
        <w:t>Về thương mại, du lịch và dịch vụ:</w:t>
      </w:r>
      <w:r>
        <w:rPr>
          <w:color w:val="000000" w:themeColor="text1"/>
        </w:rPr>
        <w:t xml:space="preserve"> Tập trung triển khai hiệu quả các giải pháp thúc đẩy phát triển thương mại, dịch vụ, du lịch. Đôn đốc các doanh nghiệp đẩy mạnh sản xuất các mặt hàng xuất khẩu, nhất là các mặt hàng chủ lực của tỉnh. Các cơ quan chức năng có liên quan thường xuyên thực hiện công tác kiểm tra, kiểm soát thị trường, đặc biệt là đối với việc bình ổn giá cả thị trường, chống buôn lậu, hàng giả, hàng kém chất lượng...; kiểm tra việc niêm yết giá và bán hàng theo giá niêm yết, nhất là các mặt hàng tiêu dùng thiết yếu tại các chợ, trung tâm thương mại, cửa hàng tư nhân...; xử lý nghiêm những trường hợp kinh doanh hàng hóa không đảm bảo vệ sinh an toàn thực phẩm, không có nguồn gốc xuất xứ, đầu cơ tăng giá để thu lợi bất chính. Tiếp tục đẩy mạnh thực hiện cuộc vận động “Người Việt Nam ưu tiên dùng hàng Việt Nam”.</w:t>
      </w:r>
    </w:p>
    <w:p w14:paraId="484FF7DD"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Tăng cường phát triển các trung tâm thương mại lớn tại các địa phương và các điểm dân cư tập trung gắn với đẩy mạnh phát triển thương mại điện tử nhằm tác động lan tỏa phát triển hoạt động thương mại trên địa bàn tỉnh.</w:t>
      </w:r>
    </w:p>
    <w:p w14:paraId="484FF7DE"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Triển khai Kế hoạch phát triển sản phẩm mới và làm mới sản du lịch hiện có trên địa bàn tỉnh. Hợp tác phát triển về du lịch với các địa phương trong và ngoài nước, mở rộng các loại hình và sản phẩm du lịch; chỉ đạo đẩy nhanh tiến độ xây dựng các dự án du lịch trên địa bàn tỉnh theo kế hoạch.</w:t>
      </w:r>
    </w:p>
    <w:p w14:paraId="484FF7DF"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Tiếp tục nâng cao chất lượng và hiệu quả hoạt động các ngành dịch vụ bưu chính - viễn thông, tài chính, ngân hàng, bảo hiểm, vận tải... để phục vụ tốt hơn cho kế hoạch phát triển kinh tế - xã hội.</w:t>
      </w:r>
    </w:p>
    <w:p w14:paraId="484FF7E0" w14:textId="77777777" w:rsidR="006B4329" w:rsidRDefault="00D0460A">
      <w:pPr>
        <w:widowControl w:val="0"/>
        <w:spacing w:before="120" w:after="120" w:line="240" w:lineRule="auto"/>
        <w:ind w:leftChars="0" w:left="0" w:firstLineChars="0" w:firstLine="720"/>
        <w:jc w:val="both"/>
        <w:rPr>
          <w:color w:val="000000" w:themeColor="text1"/>
        </w:rPr>
      </w:pPr>
      <w:r>
        <w:rPr>
          <w:b/>
          <w:color w:val="000000" w:themeColor="text1"/>
        </w:rPr>
        <w:t xml:space="preserve">4. </w:t>
      </w:r>
      <w:r>
        <w:rPr>
          <w:i/>
          <w:color w:val="000000" w:themeColor="text1"/>
        </w:rPr>
        <w:t>Về tài chính, thu ngân sách:</w:t>
      </w:r>
      <w:r>
        <w:rPr>
          <w:color w:val="000000" w:themeColor="text1"/>
        </w:rPr>
        <w:t xml:space="preserve"> Tiếp tục tăng cường công tác quản lý thu, đôn </w:t>
      </w:r>
      <w:r>
        <w:rPr>
          <w:color w:val="000000" w:themeColor="text1"/>
        </w:rPr>
        <w:lastRenderedPageBreak/>
        <w:t>đốc thu, chống thất thu, giảm nợ đọng thuế. Đảm bảo chi ngân sách theo đúng tiêu chuẩn, định mức, tiết kiệm, hiệu quả, đồng thời, triệt để tiết kiệm chi, cắt giảm các khoản chi không thật sự cần thiết; quyết liệt triển khai chuyển đổi số, quy định bắt buộc về hóa đơn điện tử đối với tất cả các ngành, lĩnh vực.</w:t>
      </w:r>
    </w:p>
    <w:p w14:paraId="484FF7E1"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Tiếp tục thực hành tiết kiệm, chống lãng phí trong việc sử dụng ngân sách nhà nước, đồng thời tăng cường tỷ trọng chi đầu tư phát triển và đảm bảo kinh phí cho các lĩnh vực quan trọng như giáo dục, y tế, môi trường và an sinh xã hội. Đồng thời, thực hiện công tác chuyển giao tài sản, kinh phí và chú trọng chống lãng phí trong quản lý, sử dụng tài sản công sau quá trình sắp xếp, sáp nhập các cơ quan, đơn vị, đảm bảo khai thác hiệu quả nguồn lực hiện có.</w:t>
      </w:r>
    </w:p>
    <w:p w14:paraId="484FF7E2" w14:textId="77777777" w:rsidR="006B4329" w:rsidRDefault="00D0460A">
      <w:pPr>
        <w:widowControl w:val="0"/>
        <w:spacing w:before="120" w:after="120" w:line="240" w:lineRule="auto"/>
        <w:ind w:leftChars="0" w:left="0" w:firstLineChars="0" w:firstLine="720"/>
        <w:jc w:val="both"/>
        <w:rPr>
          <w:color w:val="000000" w:themeColor="text1"/>
        </w:rPr>
      </w:pPr>
      <w:r>
        <w:rPr>
          <w:b/>
          <w:color w:val="000000" w:themeColor="text1"/>
        </w:rPr>
        <w:t xml:space="preserve">5. </w:t>
      </w:r>
      <w:r>
        <w:rPr>
          <w:i/>
          <w:color w:val="000000" w:themeColor="text1"/>
        </w:rPr>
        <w:t>Về đầu tư phát triển:</w:t>
      </w:r>
      <w:r>
        <w:rPr>
          <w:b/>
          <w:color w:val="000000" w:themeColor="text1"/>
        </w:rPr>
        <w:t xml:space="preserve"> </w:t>
      </w:r>
      <w:r>
        <w:rPr>
          <w:color w:val="000000" w:themeColor="text1"/>
        </w:rPr>
        <w:t>Tiếp tục xác định việc giải ngân vốn đầu tư công là nhiệm vụ chính trị quan trọng hàng đầu của các cấp, các ngành; tăng cường kỷ luật, kỷ cương, đề cao hơn nữa vai trò, trách nhiệm của người đứng đầu. Tăng cường giải ngân kế hoạch vốn đầu tư công năm, đảm bảo đến ngày 30/6/2025 tỷ lệ giải ngân đạt tối thiểu 40% kế hoạch vốn giao.</w:t>
      </w:r>
    </w:p>
    <w:p w14:paraId="484FF7E3"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Thực hiện tốt 3 Chương trình mục tiêu quốc gia về giảm nghèo bền vững, xây dựng nông thôn mới, phát triển kinh tế - xã hội vùng đồng bào dân tộc thiểu số; tiếp tục đẩy mạnh cải cách hành chính, cải thiện môi trường đầu tư kinh doanh, nâng cao năng lực cạnh tranh của tỉnh.</w:t>
      </w:r>
    </w:p>
    <w:p w14:paraId="484FF7E4" w14:textId="77777777" w:rsidR="006B4329" w:rsidRDefault="00D0460A">
      <w:pPr>
        <w:widowControl w:val="0"/>
        <w:spacing w:before="120" w:after="120" w:line="240" w:lineRule="auto"/>
        <w:ind w:leftChars="0" w:left="0" w:firstLineChars="0" w:firstLine="720"/>
        <w:jc w:val="both"/>
        <w:rPr>
          <w:color w:val="000000" w:themeColor="text1"/>
        </w:rPr>
      </w:pPr>
      <w:r>
        <w:rPr>
          <w:b/>
          <w:color w:val="000000" w:themeColor="text1"/>
        </w:rPr>
        <w:t>6.</w:t>
      </w:r>
      <w:r>
        <w:rPr>
          <w:color w:val="000000" w:themeColor="text1"/>
        </w:rPr>
        <w:t xml:space="preserve"> </w:t>
      </w:r>
      <w:r>
        <w:rPr>
          <w:i/>
          <w:color w:val="000000" w:themeColor="text1"/>
        </w:rPr>
        <w:t xml:space="preserve">Về giáo dục, văn hóa, khoa học và công nghệ, thông tin và truyền thông: </w:t>
      </w:r>
      <w:r>
        <w:rPr>
          <w:color w:val="000000" w:themeColor="text1"/>
        </w:rPr>
        <w:t>Chỉ đạo công tác chuẩn bị tổ chức kỳ thi tốt nghiệp THPT năm học 2024 - 2025 trên địa bàn tỉnh; công tác xét tốt nghiệp THCS năm học 2024 - 2025; công tác tổ chức kỳ thi tuyển sinh vào lớp 10 THPT năm học 2025 - 2026. Tiếp tục phối hợp các trường đại học tổ chức tư vấn về công tác tuyển sinh đại học, cao đẳng năm 2025. Thực hiện Phương án sắp xếp tổ chức quản lý các Trung tâm Giáo dục nghề nghiệp - Giáo dục thường xuyên theo mô hình chính quyền địa phương 02 cấp trong đó chuyển về Sở Giáo dục và Đào tạo quản lý; bảo đảm duy trì, nâng cao chất lượng hiệu quả hoạt động của các cơ sở giáo dục công lập tại các đơn vị hành chính khi thực hiện mô hình chính quyền địa phương 02 cấp.</w:t>
      </w:r>
    </w:p>
    <w:p w14:paraId="484FF7E5"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Đẩy mạnh phong trào “toàn dân đoàn kết xây dựng đời sống văn hóa” đi vào chiều sâu. Triển khai Kế hoạch tổ chức các hoạt động văn nghệ, tuyên truyền lưu động trực quan kỷ niệm 50 năm giải phóng hoàn toàn miền Nam, thống nhất đất nước; kỷ niệm 135 năm Ngày sinh Chủ tịch Hồ Chí Minh. Chuẩn bị chu đáo nội dung và các điều kiện cần thiết có liên quan để tổ chức tốt các hoạt động văn hóa, văn nghệ và thể dục, thể thao, đặc biệt là các sự kiện văn hóa và thể thao lớn của tỉnh.</w:t>
      </w:r>
    </w:p>
    <w:p w14:paraId="484FF7E6"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 xml:space="preserve">Đẩy nhanh ứng dụng AI vào hoạt động của các cơ quan nhà nước theo đúng lộ trình, hướng dẫn của Trung ương. Hoàn thành, chuyển giao và chia sẻ dữ liệu của các phần mềm theo dõi công việc, quản lý doanh nghiệp... nhằm khai thác kịp thời thông tin, phục vụ công tác chỉ đạo điều hành các ngành, lĩnh vực. Tăng cường công tác truyền thông; chú trọng tuyên truyền, giới thiệu, quảng bá hình ảnh đất nước, con người Bình Định, sản phẩm đặc trưng địa phương,… nhằm nâng cao hiệu quả tiêu </w:t>
      </w:r>
      <w:r>
        <w:rPr>
          <w:color w:val="000000" w:themeColor="text1"/>
        </w:rPr>
        <w:lastRenderedPageBreak/>
        <w:t>thụ sản phẩm, thu hút du lịch, đầu tư đến tỉnh.</w:t>
      </w:r>
    </w:p>
    <w:p w14:paraId="484FF7E7" w14:textId="77777777" w:rsidR="006B4329" w:rsidRDefault="00D0460A">
      <w:pPr>
        <w:widowControl w:val="0"/>
        <w:spacing w:before="120" w:after="120" w:line="240" w:lineRule="auto"/>
        <w:ind w:leftChars="0" w:left="0" w:firstLineChars="0" w:firstLine="720"/>
        <w:jc w:val="both"/>
        <w:rPr>
          <w:color w:val="000000" w:themeColor="text1"/>
        </w:rPr>
      </w:pPr>
      <w:r>
        <w:rPr>
          <w:b/>
          <w:color w:val="000000" w:themeColor="text1"/>
        </w:rPr>
        <w:t>7.</w:t>
      </w:r>
      <w:r>
        <w:rPr>
          <w:color w:val="000000" w:themeColor="text1"/>
        </w:rPr>
        <w:t xml:space="preserve"> </w:t>
      </w:r>
      <w:r>
        <w:rPr>
          <w:i/>
          <w:color w:val="000000" w:themeColor="text1"/>
        </w:rPr>
        <w:t>Về y tế:</w:t>
      </w:r>
      <w:r>
        <w:rPr>
          <w:color w:val="000000" w:themeColor="text1"/>
        </w:rPr>
        <w:t xml:space="preserve"> Tiếp tục củng cố, nâng cao hiệu quả công tác y tế dự phòng; chủ động phòng, chống các loại dịch bệnh, nhất là các dịch bệnh nguy hiểm ở người; đảm bảo an toàn trong tiêm chủng, vệ sinh an toàn thực phẩm. Thực hiện đồng bộ các giải pháp nâng cao chất lượng dịch vụ y tế, giảm quá tải trong khám, chữa bệnh, khắc phục tình trạng thiếu thuốc, vật tư y tế, trang thiết bị y tế... Đẩy mạnh thực hiện công tác chuyển đổi số trong ngành y tế, nhất là triển khai hồ sơ khám chữa bệnh điện tử, chẩn đoán từ xa bằng hình ảnh.</w:t>
      </w:r>
    </w:p>
    <w:p w14:paraId="484FF7E8" w14:textId="77777777" w:rsidR="006B4329" w:rsidRDefault="00D0460A">
      <w:pPr>
        <w:widowControl w:val="0"/>
        <w:spacing w:before="120" w:after="120" w:line="240" w:lineRule="auto"/>
        <w:ind w:leftChars="0" w:left="0" w:firstLineChars="0" w:firstLine="720"/>
        <w:jc w:val="both"/>
        <w:rPr>
          <w:color w:val="000000" w:themeColor="text1"/>
        </w:rPr>
      </w:pPr>
      <w:r>
        <w:rPr>
          <w:b/>
          <w:color w:val="000000" w:themeColor="text1"/>
        </w:rPr>
        <w:t>8.</w:t>
      </w:r>
      <w:r>
        <w:rPr>
          <w:color w:val="000000" w:themeColor="text1"/>
        </w:rPr>
        <w:t xml:space="preserve"> </w:t>
      </w:r>
      <w:r>
        <w:rPr>
          <w:i/>
          <w:color w:val="000000" w:themeColor="text1"/>
        </w:rPr>
        <w:t>Về an sinh xã hội:</w:t>
      </w:r>
      <w:r>
        <w:rPr>
          <w:color w:val="000000" w:themeColor="text1"/>
        </w:rPr>
        <w:t xml:space="preserve"> Thực hiện đầy đủ, hiệu quả các chính sách an sinh xã hội, phúc lợi xã hội, nhất là chính sách ưu đãi người có công, giảm nghèo, chăm lo đời sống người cao tuổi, người khuyết tật, trẻ em có hoàn cảnh đặc biệt và trẻ em mồ côi. Tăng cường công tác phòng, chống xâm hại trẻ em, phòng, chống tai nạn, thương tích trẻ em, phòng ngừa, ứng phó với bạo lực trên cơ sở giới; bảo đảm duy trì các dịch vụ trợ giúp xã hội. Tiếp tục triển khai chủ trương của Chính phủ về hỗ trợ xây dựng nhà ở cho người có công, hộ nghèo, vùng bị thiên tai và người có thu nhập thấp; xóa nhà tạm, nhà dột nát, đảm bảo hoàn thành trước ngày 31/5/2025.</w:t>
      </w:r>
    </w:p>
    <w:p w14:paraId="484FF7E9" w14:textId="77777777" w:rsidR="006B4329" w:rsidRDefault="00D0460A">
      <w:pPr>
        <w:widowControl w:val="0"/>
        <w:spacing w:before="120" w:after="120" w:line="240" w:lineRule="auto"/>
        <w:ind w:leftChars="0" w:left="0" w:firstLineChars="0" w:firstLine="720"/>
        <w:jc w:val="both"/>
        <w:rPr>
          <w:color w:val="000000" w:themeColor="text1"/>
        </w:rPr>
      </w:pPr>
      <w:r>
        <w:rPr>
          <w:b/>
          <w:color w:val="000000" w:themeColor="text1"/>
        </w:rPr>
        <w:t xml:space="preserve">9. </w:t>
      </w:r>
      <w:r>
        <w:rPr>
          <w:color w:val="000000" w:themeColor="text1"/>
        </w:rPr>
        <w:t>Tập trung chỉ đạo ổn định tổ chức bộ máy, chức năng, nhiệm vụ, quyền hạn các cơ quan, đơn vị theo bộ máy mới, đảm bảo theo tinh thần chỉ đạo của Trung ương. Hoàn thành dứt điểm việc cắt giảm theo thẩm quyền 50% thời gian giải quyết thủ tục hành chính và tối thiểu 30% chi phí tuân thủ; kiến nghị các Bộ, ngành Trung ương xem xét giảm các điều kiện kinh doanh trong thủ tục hành chính đảm bảo tối thiểu 30%. Hoàn thành việc tái cấu trúc TTHC đảm bảo bổ sung đáng kể số lượng TTHC đủ điều kiện cung cấp dịch vụ công trực tuyến toàn trình trên địa bàn tỉnh. Triển khai 100% TTHC được tiếp nhận và trả kết quả không phụ thuộc vào địa giới trong phạm vi cấp tỉnh; trước mắt tập trung triển khai, hoàn thành đối với tất cả các TTHC có phát sinh hồ sơ trong Quý II; lựa chọn một số TTHC liên quan đến lĩnh vực Hộ tịch để triển khai phi địa giới toàn trình: tiếp nhận, giải quyết, trả kết quả.</w:t>
      </w:r>
    </w:p>
    <w:p w14:paraId="484FF7EA" w14:textId="77777777" w:rsidR="006B4329" w:rsidRDefault="00D0460A">
      <w:pPr>
        <w:widowControl w:val="0"/>
        <w:spacing w:before="120" w:after="120" w:line="240" w:lineRule="auto"/>
        <w:ind w:leftChars="0" w:left="0" w:firstLineChars="0" w:firstLine="720"/>
        <w:jc w:val="both"/>
        <w:rPr>
          <w:color w:val="000000" w:themeColor="text1"/>
        </w:rPr>
      </w:pPr>
      <w:r>
        <w:rPr>
          <w:color w:val="000000" w:themeColor="text1"/>
        </w:rPr>
        <w:t>Tập trung phát huy tinh thần “thần tốc” trong chỉ đạo, điều hành phát triển kinh tế - xã hội; quyết liệt đổi mới căn bản cách thức chỉ đạo, điều hành xử lý công việc, nhiệm vụ chuyên môn.</w:t>
      </w:r>
    </w:p>
    <w:p w14:paraId="484FF7EB" w14:textId="77777777" w:rsidR="006B4329" w:rsidRDefault="00D0460A">
      <w:pPr>
        <w:widowControl w:val="0"/>
        <w:spacing w:before="120" w:after="120" w:line="240" w:lineRule="auto"/>
        <w:ind w:leftChars="0" w:left="0" w:firstLineChars="0" w:firstLine="720"/>
        <w:jc w:val="both"/>
        <w:rPr>
          <w:color w:val="000000" w:themeColor="text1"/>
        </w:rPr>
      </w:pPr>
      <w:r>
        <w:rPr>
          <w:b/>
          <w:color w:val="000000" w:themeColor="text1"/>
        </w:rPr>
        <w:t>10.</w:t>
      </w:r>
      <w:r>
        <w:rPr>
          <w:color w:val="000000" w:themeColor="text1"/>
        </w:rPr>
        <w:t xml:space="preserve"> Tập trung giữ vững an ninh chính trị và trật tự an toàn xã hội; giải quyết dứt điểm các vụ khiếu nại. Triển khai kế hoạch bảo vệ các ngày Lễ lớn của tỉnh và đất nước. Tăng cường công tác phòng chống các loại tội phạm, tệ nạn xã hội, phòng chống cháy nổ. Tiếp tục triển khai quyết liệt các biện pháp kiềm chế, giảm thiểu tai nạn giao thông, tăng cường tuần tra, kiểm soát, xử lý các trường hợp vi phạm an toàn giao thông.</w:t>
      </w:r>
    </w:p>
    <w:p w14:paraId="484FF7EC" w14:textId="209D28C0" w:rsidR="006B4329" w:rsidRDefault="00D0460A">
      <w:pPr>
        <w:widowControl w:val="0"/>
        <w:spacing w:before="120" w:after="120" w:line="240" w:lineRule="auto"/>
        <w:ind w:leftChars="0" w:left="0" w:firstLineChars="0" w:firstLine="720"/>
        <w:jc w:val="both"/>
        <w:rPr>
          <w:color w:val="000000" w:themeColor="text1"/>
        </w:rPr>
      </w:pPr>
      <w:r>
        <w:rPr>
          <w:b/>
          <w:color w:val="000000" w:themeColor="text1"/>
        </w:rPr>
        <w:t>11.</w:t>
      </w:r>
      <w:r>
        <w:rPr>
          <w:color w:val="000000" w:themeColor="text1"/>
        </w:rPr>
        <w:t xml:space="preserve"> Tập trung triển khai thực hiện chủ trương của Trung ương về sắp xếp, tinh gọn bộ máy, thực hiện mô hình chính quyền địa phương 2 cấp./.</w:t>
      </w:r>
    </w:p>
    <w:tbl>
      <w:tblPr>
        <w:tblW w:w="9180" w:type="dxa"/>
        <w:tblInd w:w="108" w:type="dxa"/>
        <w:tblLook w:val="01E0" w:firstRow="1" w:lastRow="1" w:firstColumn="1" w:lastColumn="1" w:noHBand="0" w:noVBand="0"/>
      </w:tblPr>
      <w:tblGrid>
        <w:gridCol w:w="5400"/>
        <w:gridCol w:w="3780"/>
      </w:tblGrid>
      <w:tr w:rsidR="00D0460A" w:rsidRPr="00D30615" w14:paraId="502F90DB" w14:textId="77777777" w:rsidTr="00934F47">
        <w:tc>
          <w:tcPr>
            <w:tcW w:w="5400" w:type="dxa"/>
            <w:hideMark/>
          </w:tcPr>
          <w:p w14:paraId="074991EB" w14:textId="77777777" w:rsidR="00D0460A" w:rsidRPr="00D30615" w:rsidRDefault="00D0460A" w:rsidP="00934F47">
            <w:pPr>
              <w:ind w:hanging="2"/>
              <w:rPr>
                <w:sz w:val="22"/>
              </w:rPr>
            </w:pPr>
          </w:p>
        </w:tc>
        <w:tc>
          <w:tcPr>
            <w:tcW w:w="3780" w:type="dxa"/>
          </w:tcPr>
          <w:p w14:paraId="2C6F9839" w14:textId="77777777" w:rsidR="00D0460A" w:rsidRPr="00D30615" w:rsidRDefault="00D0460A" w:rsidP="00934F47">
            <w:pPr>
              <w:ind w:left="0" w:hanging="3"/>
              <w:jc w:val="center"/>
              <w:rPr>
                <w:b/>
                <w:sz w:val="26"/>
                <w:szCs w:val="26"/>
              </w:rPr>
            </w:pPr>
            <w:r w:rsidRPr="00D30615">
              <w:rPr>
                <w:b/>
              </w:rPr>
              <w:t>TM. ỦY BAN NHÂN DÂN</w:t>
            </w:r>
          </w:p>
        </w:tc>
      </w:tr>
    </w:tbl>
    <w:p w14:paraId="484FF7FB" w14:textId="77777777" w:rsidR="006B4329" w:rsidRDefault="006B4329" w:rsidP="00965821">
      <w:pPr>
        <w:spacing w:before="120" w:after="120"/>
        <w:ind w:leftChars="0" w:left="0" w:firstLineChars="0" w:firstLine="0"/>
        <w:jc w:val="both"/>
        <w:rPr>
          <w:color w:val="000000" w:themeColor="text1"/>
        </w:rPr>
      </w:pPr>
    </w:p>
    <w:sectPr w:rsidR="006B4329">
      <w:headerReference w:type="even" r:id="rId9"/>
      <w:headerReference w:type="default" r:id="rId10"/>
      <w:footerReference w:type="even" r:id="rId11"/>
      <w:footerReference w:type="default" r:id="rId12"/>
      <w:pgSz w:w="11907" w:h="16840"/>
      <w:pgMar w:top="1134" w:right="851"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FF804" w14:textId="77777777" w:rsidR="006B4329" w:rsidRDefault="00D0460A">
      <w:pPr>
        <w:spacing w:line="240" w:lineRule="auto"/>
        <w:ind w:left="0" w:hanging="3"/>
      </w:pPr>
      <w:r>
        <w:separator/>
      </w:r>
    </w:p>
  </w:endnote>
  <w:endnote w:type="continuationSeparator" w:id="0">
    <w:p w14:paraId="484FF805" w14:textId="77777777" w:rsidR="006B4329" w:rsidRDefault="00D0460A">
      <w:pPr>
        <w:spacing w:line="240" w:lineRule="auto"/>
        <w:ind w:left="0" w:hanging="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HelvetInsH">
    <w:altName w:val="Cambria"/>
    <w:charset w:val="00"/>
    <w:family w:val="swiss"/>
    <w:pitch w:val="variable"/>
    <w:sig w:usb0="00000003" w:usb1="00000000" w:usb2="00000000" w:usb3="00000000" w:csb0="00000001" w:csb1="00000000"/>
  </w:font>
  <w:font w:name=".VnTimeH">
    <w:altName w:val="Times New Roman"/>
    <w:charset w:val="00"/>
    <w:family w:val="swiss"/>
    <w:pitch w:val="default"/>
    <w:sig w:usb0="00000000" w:usb1="00000000" w:usb2="00000000" w:usb3="00000000" w:csb0="00000013" w:csb1="00000000"/>
  </w:font>
  <w:font w:name="Tahoma">
    <w:panose1 w:val="020B0604030504040204"/>
    <w:charset w:val="00"/>
    <w:family w:val="swiss"/>
    <w:pitch w:val="variable"/>
    <w:sig w:usb0="E1002EFF" w:usb1="C000605B" w:usb2="00000029" w:usb3="00000000" w:csb0="000101FF" w:csb1="00000000"/>
    <w:embedRegular r:id="rId1" w:fontKey="{0DC076CB-FF06-4B8C-8D73-EA24780F8F55}"/>
    <w:embedBold r:id="rId2" w:fontKey="{790AF5EB-C8A8-4B5B-B7B5-9ECCA88F1818}"/>
  </w:font>
  <w:font w:name=".VnTime">
    <w:altName w:val="Segoe Print"/>
    <w:charset w:val="00"/>
    <w:family w:val="swiss"/>
    <w:pitch w:val="default"/>
    <w:sig w:usb0="00000000"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3" w:fontKey="{5EC19811-E1E0-4E11-89E3-0F44E1554CDF}"/>
    <w:embedItalic r:id="rId4" w:fontKey="{A657FBC2-091A-4398-A785-16A61DD835DB}"/>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82A0DA97-95E7-4519-A83E-47792CEA28E6}"/>
  </w:font>
  <w:font w:name="VK Sans Serif">
    <w:altName w:val="Segoe Print"/>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embedRegular r:id="rId6" w:fontKey="{F3C4DBDE-503B-4B38-B848-EEE793619A64}"/>
    <w:embedItalic r:id="rId7" w:fontKey="{D647E01B-EECA-4FEC-8F20-2CD9AF70754C}"/>
  </w:font>
  <w:font w:name="VNI-Times">
    <w:altName w:val="Calibri"/>
    <w:charset w:val="00"/>
    <w:family w:val="auto"/>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FF80A" w14:textId="77777777" w:rsidR="006B4329" w:rsidRDefault="00D0460A">
    <w:pPr>
      <w:tabs>
        <w:tab w:val="center" w:pos="4320"/>
        <w:tab w:val="right" w:pos="8640"/>
      </w:tabs>
      <w:spacing w:line="240" w:lineRule="auto"/>
      <w:ind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14:paraId="484FF80B" w14:textId="77777777" w:rsidR="006B4329" w:rsidRDefault="006B4329">
    <w:pPr>
      <w:tabs>
        <w:tab w:val="center" w:pos="4320"/>
        <w:tab w:val="right" w:pos="8640"/>
      </w:tabs>
      <w:spacing w:line="240" w:lineRule="auto"/>
      <w:ind w:right="360" w:hanging="2"/>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FF80C" w14:textId="77777777" w:rsidR="006B4329" w:rsidRDefault="006B4329">
    <w:pPr>
      <w:tabs>
        <w:tab w:val="center" w:pos="4320"/>
        <w:tab w:val="right" w:pos="8640"/>
      </w:tabs>
      <w:spacing w:line="240" w:lineRule="auto"/>
      <w:ind w:right="360" w:hanging="2"/>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FF802" w14:textId="77777777" w:rsidR="006B4329" w:rsidRDefault="00D0460A">
      <w:pPr>
        <w:spacing w:line="240" w:lineRule="auto"/>
        <w:ind w:left="0" w:hanging="3"/>
      </w:pPr>
      <w:r>
        <w:separator/>
      </w:r>
    </w:p>
  </w:footnote>
  <w:footnote w:type="continuationSeparator" w:id="0">
    <w:p w14:paraId="484FF803" w14:textId="77777777" w:rsidR="006B4329" w:rsidRDefault="00D0460A">
      <w:pPr>
        <w:spacing w:line="240" w:lineRule="auto"/>
        <w:ind w:left="0" w:hanging="3"/>
      </w:pPr>
      <w:r>
        <w:continuationSeparator/>
      </w:r>
    </w:p>
  </w:footnote>
  <w:footnote w:id="1">
    <w:p w14:paraId="484FF80D" w14:textId="77777777" w:rsidR="006B4329" w:rsidRDefault="00D0460A">
      <w:pPr>
        <w:pStyle w:val="FootnoteText"/>
        <w:ind w:hanging="2"/>
        <w:jc w:val="both"/>
        <w:rPr>
          <w:lang w:val="vi-VN"/>
        </w:rPr>
      </w:pPr>
      <w:r>
        <w:rPr>
          <w:rStyle w:val="FootnoteReference"/>
        </w:rPr>
        <w:footnoteRef/>
      </w:r>
      <w:r>
        <w:t xml:space="preserve"> An Lão 250,0 ha; Hoài Ân 273,69 ha; Hoài Nhơn 12,1 ha; Phù Cát 299,52 ha; Tây Sơn 20,08 ha; Vĩnh Thạnh 50,20 ha; Vân Canh 809,16 ha; Tuy Phước 155,0 ha; Quy Nhơn 218,0 ha.</w:t>
      </w:r>
    </w:p>
  </w:footnote>
  <w:footnote w:id="2">
    <w:p w14:paraId="484FF80F" w14:textId="77777777" w:rsidR="006B4329" w:rsidRDefault="00D0460A">
      <w:pPr>
        <w:pStyle w:val="FootnoteText"/>
        <w:ind w:hanging="2"/>
        <w:jc w:val="both"/>
        <w:rPr>
          <w:bCs/>
          <w:color w:val="000000"/>
          <w:shd w:val="clear" w:color="auto" w:fill="F8F8F8"/>
          <w:lang w:val="vi-VN"/>
        </w:rPr>
      </w:pPr>
      <w:r>
        <w:rPr>
          <w:rStyle w:val="FootnoteReference"/>
          <w:color w:val="000000"/>
        </w:rPr>
        <w:footnoteRef/>
      </w:r>
      <w:r>
        <w:rPr>
          <w:color w:val="000000"/>
          <w:lang w:val="vi-VN"/>
        </w:rPr>
        <w:t xml:space="preserve"> </w:t>
      </w:r>
      <w:r>
        <w:rPr>
          <w:bCs/>
          <w:color w:val="000000"/>
          <w:lang w:val="vi-VN"/>
        </w:rPr>
        <w:t>(i) Xã đạt chuẩn nông thôn mới, gồm 02 xã: Xã Ân Hảo Tây, huyện Hoài Ân; Xã Vĩnh Hảo, huyện Vĩnh Thạnh. (ii) Xã đạt chuẩn nông thôn mới nâng cao, gồm 04 xã: Xã Mỹ Trinh, huyện Phù Mỹ; Xã Phước Hiệp, huyện Tuy Phước; Xã Phước Lộc, huyện Tuy Phước; Xã Cát Tài, huyện Phù Cát. (iii) Xã đạt chuẩn nông thôn mới kiểu mẫu, gồm 02 xã: Xã Cát Minh, huyện Phù Cát đạt chuẩn nông thôn mới Kiểu mẫu về Cảnh quan môi trường; Xã Phước Hưng, huyện Tuy Phước đạt chuẩn nông thôn mới Kiểu mẫu về Cảnh quan môi trường.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FF806" w14:textId="77777777" w:rsidR="006B4329" w:rsidRDefault="00D0460A">
    <w:pPr>
      <w:tabs>
        <w:tab w:val="center" w:pos="4320"/>
        <w:tab w:val="right" w:pos="8640"/>
      </w:tabs>
      <w:spacing w:line="240" w:lineRule="auto"/>
      <w:ind w:hanging="2"/>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14:paraId="484FF807" w14:textId="77777777" w:rsidR="006B4329" w:rsidRDefault="006B4329">
    <w:pPr>
      <w:tabs>
        <w:tab w:val="center" w:pos="4320"/>
        <w:tab w:val="right" w:pos="8640"/>
      </w:tabs>
      <w:spacing w:line="240" w:lineRule="auto"/>
      <w:ind w:hanging="2"/>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FF808" w14:textId="77777777" w:rsidR="006B4329" w:rsidRDefault="00D0460A">
    <w:pPr>
      <w:tabs>
        <w:tab w:val="center" w:pos="4320"/>
        <w:tab w:val="right" w:pos="8640"/>
      </w:tabs>
      <w:spacing w:line="240" w:lineRule="auto"/>
      <w:ind w:left="0" w:hanging="3"/>
      <w:jc w:val="center"/>
      <w:rPr>
        <w:color w:val="000000"/>
      </w:rPr>
    </w:pPr>
    <w:r>
      <w:rPr>
        <w:color w:val="000000"/>
      </w:rPr>
      <w:fldChar w:fldCharType="begin"/>
    </w:r>
    <w:r>
      <w:rPr>
        <w:color w:val="000000"/>
      </w:rPr>
      <w:instrText>PAGE</w:instrText>
    </w:r>
    <w:r>
      <w:rPr>
        <w:color w:val="000000"/>
      </w:rPr>
      <w:fldChar w:fldCharType="separate"/>
    </w:r>
    <w:r>
      <w:rPr>
        <w:color w:val="000000"/>
      </w:rPr>
      <w:t>2</w:t>
    </w:r>
    <w:r>
      <w:rPr>
        <w:color w:val="000000"/>
      </w:rPr>
      <w:fldChar w:fldCharType="end"/>
    </w:r>
  </w:p>
  <w:p w14:paraId="484FF809" w14:textId="77777777" w:rsidR="006B4329" w:rsidRDefault="006B4329">
    <w:pPr>
      <w:tabs>
        <w:tab w:val="center" w:pos="4320"/>
        <w:tab w:val="right" w:pos="8640"/>
      </w:tabs>
      <w:spacing w:line="240" w:lineRule="auto"/>
      <w:ind w:hanging="2"/>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E5060"/>
    <w:multiLevelType w:val="multilevel"/>
    <w:tmpl w:val="195E5060"/>
    <w:lvl w:ilvl="0">
      <w:start w:val="1"/>
      <w:numFmt w:val="decimal"/>
      <w:pStyle w:val="Char1"/>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num w:numId="1" w16cid:durableId="1049958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5B5"/>
    <w:rsid w:val="00002C22"/>
    <w:rsid w:val="00041D97"/>
    <w:rsid w:val="0004697E"/>
    <w:rsid w:val="00084E48"/>
    <w:rsid w:val="0009319C"/>
    <w:rsid w:val="000B209C"/>
    <w:rsid w:val="000B5634"/>
    <w:rsid w:val="001F48CB"/>
    <w:rsid w:val="002239E7"/>
    <w:rsid w:val="002C5A47"/>
    <w:rsid w:val="00303B95"/>
    <w:rsid w:val="003106B6"/>
    <w:rsid w:val="0031216D"/>
    <w:rsid w:val="00321C85"/>
    <w:rsid w:val="003F46C5"/>
    <w:rsid w:val="00454C4A"/>
    <w:rsid w:val="00491E9A"/>
    <w:rsid w:val="004C25BF"/>
    <w:rsid w:val="004E1694"/>
    <w:rsid w:val="004E719C"/>
    <w:rsid w:val="00576B9E"/>
    <w:rsid w:val="005A5A13"/>
    <w:rsid w:val="005E7C7E"/>
    <w:rsid w:val="006055B5"/>
    <w:rsid w:val="0065574B"/>
    <w:rsid w:val="00670AF5"/>
    <w:rsid w:val="006860DC"/>
    <w:rsid w:val="00694AEE"/>
    <w:rsid w:val="006B4329"/>
    <w:rsid w:val="006E4674"/>
    <w:rsid w:val="006F1DA5"/>
    <w:rsid w:val="006F5B78"/>
    <w:rsid w:val="0079743D"/>
    <w:rsid w:val="00855265"/>
    <w:rsid w:val="009348ED"/>
    <w:rsid w:val="009554C6"/>
    <w:rsid w:val="00965821"/>
    <w:rsid w:val="009E38F8"/>
    <w:rsid w:val="00A16077"/>
    <w:rsid w:val="00A2125F"/>
    <w:rsid w:val="00A570D3"/>
    <w:rsid w:val="00AB64DF"/>
    <w:rsid w:val="00B672FE"/>
    <w:rsid w:val="00B86058"/>
    <w:rsid w:val="00B86C7A"/>
    <w:rsid w:val="00BB1D3D"/>
    <w:rsid w:val="00BD3EE3"/>
    <w:rsid w:val="00BF786A"/>
    <w:rsid w:val="00C1582F"/>
    <w:rsid w:val="00C27FA4"/>
    <w:rsid w:val="00C50ECF"/>
    <w:rsid w:val="00C978AC"/>
    <w:rsid w:val="00D0460A"/>
    <w:rsid w:val="00D46732"/>
    <w:rsid w:val="00D94B48"/>
    <w:rsid w:val="00DA581D"/>
    <w:rsid w:val="00E0129C"/>
    <w:rsid w:val="00E03FD5"/>
    <w:rsid w:val="00E661ED"/>
    <w:rsid w:val="00E73DC8"/>
    <w:rsid w:val="00FD2D61"/>
    <w:rsid w:val="14EB0532"/>
    <w:rsid w:val="2F4E6863"/>
    <w:rsid w:val="34373437"/>
    <w:rsid w:val="6D2A5C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84FF782"/>
  <w15:docId w15:val="{B61C03C7-7CA8-4933-8C7E-A2FD32CA6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Alignment w:val="top"/>
      <w:outlineLvl w:val="0"/>
    </w:pPr>
    <w:rPr>
      <w:rFonts w:eastAsia="Times New Roman"/>
      <w:position w:val="-1"/>
      <w:sz w:val="28"/>
      <w:szCs w:val="28"/>
      <w:lang w:val="en-US" w:eastAsia="en-US"/>
    </w:rPr>
  </w:style>
  <w:style w:type="paragraph" w:styleId="Heading1">
    <w:name w:val="heading 1"/>
    <w:basedOn w:val="Normal"/>
    <w:next w:val="Normal"/>
    <w:uiPriority w:val="9"/>
    <w:qFormat/>
    <w:pPr>
      <w:keepNext/>
      <w:jc w:val="center"/>
    </w:pPr>
    <w:rPr>
      <w:rFonts w:ascii=".VnHelvetInsH" w:hAnsi=".VnHelvetInsH"/>
      <w:sz w:val="36"/>
      <w:szCs w:val="20"/>
      <w:lang w:eastAsia="zh-CN"/>
    </w:rPr>
  </w:style>
  <w:style w:type="paragraph" w:styleId="Heading2">
    <w:name w:val="heading 2"/>
    <w:basedOn w:val="Normal"/>
    <w:next w:val="Normal"/>
    <w:uiPriority w:val="9"/>
    <w:unhideWhenUsed/>
    <w:qFormat/>
    <w:pPr>
      <w:keepNext/>
      <w:jc w:val="center"/>
      <w:outlineLvl w:val="1"/>
    </w:pPr>
    <w:rPr>
      <w:rFonts w:ascii=".VnTimeH" w:hAnsi=".VnTimeH"/>
      <w:b/>
      <w:sz w:val="24"/>
      <w:szCs w:val="20"/>
      <w:lang w:eastAsia="zh-CN"/>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rFonts w:ascii="Tahoma" w:hAnsi="Tahoma"/>
      <w:sz w:val="16"/>
      <w:szCs w:val="16"/>
    </w:rPr>
  </w:style>
  <w:style w:type="paragraph" w:styleId="BodyText">
    <w:name w:val="Body Text"/>
    <w:basedOn w:val="Normal"/>
    <w:pPr>
      <w:jc w:val="both"/>
    </w:pPr>
    <w:rPr>
      <w:rFonts w:ascii=".VnTime" w:hAnsi=".VnTime"/>
      <w:szCs w:val="20"/>
      <w:lang w:eastAsia="zh-CN"/>
    </w:rPr>
  </w:style>
  <w:style w:type="paragraph" w:styleId="BodyText2">
    <w:name w:val="Body Text 2"/>
    <w:basedOn w:val="Normal"/>
    <w:qFormat/>
    <w:pPr>
      <w:jc w:val="both"/>
    </w:pPr>
    <w:rPr>
      <w:rFonts w:ascii=".VnTime" w:hAnsi=".VnTime"/>
      <w:b/>
      <w:szCs w:val="20"/>
    </w:rPr>
  </w:style>
  <w:style w:type="paragraph" w:styleId="BodyText3">
    <w:name w:val="Body Text 3"/>
    <w:basedOn w:val="Normal"/>
    <w:qFormat/>
    <w:pPr>
      <w:spacing w:after="120"/>
    </w:pPr>
    <w:rPr>
      <w:sz w:val="16"/>
      <w:szCs w:val="16"/>
    </w:rPr>
  </w:style>
  <w:style w:type="paragraph" w:styleId="BodyTextIndent">
    <w:name w:val="Body Text Indent"/>
    <w:basedOn w:val="Normal"/>
    <w:pPr>
      <w:spacing w:before="120"/>
      <w:ind w:firstLine="720"/>
      <w:jc w:val="both"/>
    </w:pPr>
    <w:rPr>
      <w:rFonts w:ascii=".VnTime" w:hAnsi=".VnTime"/>
      <w:szCs w:val="20"/>
      <w:lang w:eastAsia="zh-CN"/>
    </w:rPr>
  </w:style>
  <w:style w:type="paragraph" w:styleId="BodyTextIndent2">
    <w:name w:val="Body Text Indent 2"/>
    <w:basedOn w:val="Normal"/>
    <w:qFormat/>
    <w:pPr>
      <w:spacing w:after="120" w:line="480" w:lineRule="auto"/>
      <w:ind w:left="360"/>
    </w:pPr>
  </w:style>
  <w:style w:type="paragraph" w:styleId="DocumentMap">
    <w:name w:val="Document Map"/>
    <w:basedOn w:val="Normal"/>
    <w:qFormat/>
    <w:rPr>
      <w:rFonts w:ascii="Tahoma" w:hAnsi="Tahoma"/>
      <w:sz w:val="16"/>
      <w:szCs w:val="16"/>
    </w:rPr>
  </w:style>
  <w:style w:type="paragraph" w:styleId="Footer">
    <w:name w:val="footer"/>
    <w:basedOn w:val="Normal"/>
    <w:qFormat/>
    <w:pPr>
      <w:tabs>
        <w:tab w:val="center" w:pos="4320"/>
        <w:tab w:val="right" w:pos="8640"/>
      </w:tabs>
    </w:pPr>
    <w:rPr>
      <w:sz w:val="20"/>
      <w:szCs w:val="20"/>
      <w:lang w:eastAsia="zh-CN"/>
    </w:rPr>
  </w:style>
  <w:style w:type="character" w:styleId="FootnoteReference">
    <w:name w:val="footnote reference"/>
    <w:qFormat/>
    <w:rPr>
      <w:w w:val="100"/>
      <w:position w:val="-1"/>
      <w:vertAlign w:val="superscript"/>
      <w:cs w:val="0"/>
    </w:rPr>
  </w:style>
  <w:style w:type="paragraph" w:styleId="FootnoteText">
    <w:name w:val="footnote text"/>
    <w:basedOn w:val="Normal"/>
    <w:uiPriority w:val="99"/>
    <w:qFormat/>
    <w:rPr>
      <w:sz w:val="20"/>
      <w:szCs w:val="20"/>
    </w:rPr>
  </w:style>
  <w:style w:type="paragraph" w:styleId="Header">
    <w:name w:val="header"/>
    <w:basedOn w:val="Normal"/>
    <w:qFormat/>
    <w:pPr>
      <w:tabs>
        <w:tab w:val="center" w:pos="4320"/>
        <w:tab w:val="right" w:pos="8640"/>
      </w:tabs>
    </w:pPr>
    <w:rPr>
      <w:sz w:val="20"/>
      <w:szCs w:val="20"/>
      <w:lang w:eastAsia="zh-CN"/>
    </w:rPr>
  </w:style>
  <w:style w:type="paragraph" w:styleId="NormalWeb">
    <w:name w:val="Normal (Web)"/>
    <w:basedOn w:val="Normal"/>
    <w:qFormat/>
    <w:pPr>
      <w:spacing w:before="100" w:beforeAutospacing="1" w:after="100" w:afterAutospacing="1"/>
    </w:pPr>
    <w:rPr>
      <w:sz w:val="24"/>
      <w:szCs w:val="24"/>
    </w:rPr>
  </w:style>
  <w:style w:type="character" w:styleId="PageNumber">
    <w:name w:val="page number"/>
    <w:basedOn w:val="DefaultParagraphFont"/>
    <w:qFormat/>
    <w:rPr>
      <w:w w:val="100"/>
      <w:position w:val="-1"/>
      <w:vertAlign w:val="baseline"/>
      <w:cs w:val="0"/>
    </w:rPr>
  </w:style>
  <w:style w:type="character" w:styleId="Strong">
    <w:name w:val="Strong"/>
    <w:uiPriority w:val="22"/>
    <w:qFormat/>
    <w:rPr>
      <w:b/>
      <w:bCs/>
      <w:w w:val="100"/>
      <w:position w:val="-1"/>
      <w:vertAlign w:val="baseline"/>
      <w:cs w:val="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qFormat/>
    <w:pPr>
      <w:suppressAutoHyphens/>
      <w:spacing w:line="1" w:lineRule="atLeast"/>
      <w:ind w:leftChars="-1" w:left="-1" w:hangingChars="1" w:hanging="1"/>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qFormat/>
    <w:rPr>
      <w:rFonts w:ascii=".VnHelvetInsH" w:hAnsi=".VnHelvetInsH"/>
      <w:w w:val="100"/>
      <w:position w:val="-1"/>
      <w:sz w:val="36"/>
      <w:vertAlign w:val="baseline"/>
      <w:cs w:val="0"/>
      <w:lang w:eastAsia="zh-CN"/>
    </w:rPr>
  </w:style>
  <w:style w:type="character" w:customStyle="1" w:styleId="Heading2Char">
    <w:name w:val="Heading 2 Char"/>
    <w:qFormat/>
    <w:rPr>
      <w:rFonts w:ascii=".VnTimeH" w:hAnsi=".VnTimeH"/>
      <w:b/>
      <w:w w:val="100"/>
      <w:position w:val="-1"/>
      <w:sz w:val="24"/>
      <w:vertAlign w:val="baseline"/>
      <w:cs w:val="0"/>
      <w:lang w:eastAsia="zh-CN"/>
    </w:rPr>
  </w:style>
  <w:style w:type="character" w:customStyle="1" w:styleId="BalloonTextChar">
    <w:name w:val="Balloon Text Char"/>
    <w:qFormat/>
    <w:rPr>
      <w:rFonts w:ascii="Tahoma" w:hAnsi="Tahoma" w:cs="Tahoma"/>
      <w:w w:val="100"/>
      <w:position w:val="-1"/>
      <w:sz w:val="16"/>
      <w:szCs w:val="16"/>
      <w:vertAlign w:val="baseline"/>
      <w:cs w:val="0"/>
    </w:rPr>
  </w:style>
  <w:style w:type="character" w:customStyle="1" w:styleId="BodyTextChar">
    <w:name w:val="Body Text Char"/>
    <w:qFormat/>
    <w:rPr>
      <w:rFonts w:ascii=".VnTime" w:hAnsi=".VnTime"/>
      <w:w w:val="100"/>
      <w:position w:val="-1"/>
      <w:sz w:val="28"/>
      <w:vertAlign w:val="baseline"/>
      <w:cs w:val="0"/>
      <w:lang w:val="en-US" w:eastAsia="zh-CN" w:bidi="ar-SA"/>
    </w:rPr>
  </w:style>
  <w:style w:type="character" w:customStyle="1" w:styleId="BodyText2Char">
    <w:name w:val="Body Text 2 Char"/>
    <w:qFormat/>
    <w:rPr>
      <w:rFonts w:ascii=".VnTime" w:hAnsi=".VnTime"/>
      <w:b/>
      <w:w w:val="100"/>
      <w:position w:val="-1"/>
      <w:sz w:val="28"/>
      <w:vertAlign w:val="baseline"/>
      <w:cs w:val="0"/>
    </w:rPr>
  </w:style>
  <w:style w:type="character" w:customStyle="1" w:styleId="BodyText3Char">
    <w:name w:val="Body Text 3 Char"/>
    <w:qFormat/>
    <w:rPr>
      <w:w w:val="100"/>
      <w:position w:val="-1"/>
      <w:sz w:val="16"/>
      <w:szCs w:val="16"/>
      <w:vertAlign w:val="baseline"/>
      <w:cs w:val="0"/>
    </w:rPr>
  </w:style>
  <w:style w:type="character" w:customStyle="1" w:styleId="BodyTextIndentChar">
    <w:name w:val="Body Text Indent Char"/>
    <w:qFormat/>
    <w:rPr>
      <w:rFonts w:ascii=".VnTime" w:hAnsi=".VnTime"/>
      <w:w w:val="100"/>
      <w:position w:val="-1"/>
      <w:sz w:val="28"/>
      <w:vertAlign w:val="baseline"/>
      <w:cs w:val="0"/>
      <w:lang w:eastAsia="zh-CN"/>
    </w:rPr>
  </w:style>
  <w:style w:type="character" w:customStyle="1" w:styleId="BodyTextIndent2Char">
    <w:name w:val="Body Text Indent 2 Char"/>
    <w:qFormat/>
    <w:rPr>
      <w:w w:val="100"/>
      <w:position w:val="-1"/>
      <w:sz w:val="28"/>
      <w:szCs w:val="28"/>
      <w:vertAlign w:val="baseline"/>
      <w:cs w:val="0"/>
    </w:rPr>
  </w:style>
  <w:style w:type="character" w:customStyle="1" w:styleId="DocumentMapChar">
    <w:name w:val="Document Map Char"/>
    <w:qFormat/>
    <w:rPr>
      <w:rFonts w:ascii="Tahoma" w:hAnsi="Tahoma" w:cs="Tahoma"/>
      <w:w w:val="100"/>
      <w:position w:val="-1"/>
      <w:sz w:val="16"/>
      <w:szCs w:val="16"/>
      <w:vertAlign w:val="baseline"/>
      <w:cs w:val="0"/>
    </w:rPr>
  </w:style>
  <w:style w:type="paragraph" w:customStyle="1" w:styleId="FootnotetextCharChar">
    <w:name w:val="Footnote text Char Char"/>
    <w:basedOn w:val="Normal"/>
    <w:qFormat/>
    <w:pPr>
      <w:spacing w:after="160" w:line="240" w:lineRule="atLeast"/>
    </w:pPr>
    <w:rPr>
      <w:sz w:val="20"/>
      <w:szCs w:val="20"/>
      <w:vertAlign w:val="superscript"/>
      <w:lang w:val="vi-VN" w:eastAsia="vi-VN"/>
    </w:rPr>
  </w:style>
  <w:style w:type="character" w:customStyle="1" w:styleId="FootnoteTextChar">
    <w:name w:val="Footnote Text Char"/>
    <w:uiPriority w:val="99"/>
    <w:qFormat/>
    <w:rPr>
      <w:w w:val="100"/>
      <w:position w:val="-1"/>
      <w:vertAlign w:val="baseline"/>
      <w:cs w:val="0"/>
      <w:lang w:val="en-US" w:eastAsia="en-US"/>
    </w:rPr>
  </w:style>
  <w:style w:type="character" w:customStyle="1" w:styleId="HeaderChar">
    <w:name w:val="Header Char"/>
    <w:qFormat/>
    <w:rPr>
      <w:w w:val="100"/>
      <w:position w:val="-1"/>
      <w:vertAlign w:val="baseline"/>
      <w:cs w:val="0"/>
      <w:lang w:eastAsia="zh-CN"/>
    </w:rPr>
  </w:style>
  <w:style w:type="character" w:customStyle="1" w:styleId="NormalWebChar">
    <w:name w:val="Normal (Web) Char"/>
    <w:qFormat/>
    <w:rPr>
      <w:w w:val="100"/>
      <w:position w:val="-1"/>
      <w:sz w:val="24"/>
      <w:szCs w:val="24"/>
      <w:vertAlign w:val="baseline"/>
      <w:cs w:val="0"/>
      <w:lang w:val="en-US" w:eastAsia="en-US"/>
    </w:rPr>
  </w:style>
  <w:style w:type="character" w:customStyle="1" w:styleId="apple-style-span">
    <w:name w:val="apple-style-span"/>
    <w:basedOn w:val="DefaultParagraphFont"/>
    <w:qFormat/>
    <w:rPr>
      <w:w w:val="100"/>
      <w:position w:val="-1"/>
      <w:vertAlign w:val="baseline"/>
      <w:cs w:val="0"/>
    </w:rPr>
  </w:style>
  <w:style w:type="paragraph" w:customStyle="1" w:styleId="Char1">
    <w:name w:val="Char1"/>
    <w:qFormat/>
    <w:pPr>
      <w:numPr>
        <w:numId w:val="1"/>
      </w:numPr>
      <w:suppressAutoHyphens/>
      <w:spacing w:after="120" w:line="1" w:lineRule="atLeast"/>
      <w:ind w:leftChars="-1" w:left="0" w:hangingChars="1" w:hanging="1"/>
      <w:textAlignment w:val="top"/>
      <w:outlineLvl w:val="0"/>
    </w:pPr>
    <w:rPr>
      <w:rFonts w:eastAsia="Times New Roman"/>
      <w:position w:val="-1"/>
      <w:sz w:val="28"/>
      <w:szCs w:val="28"/>
      <w:lang w:val="en-US" w:eastAsia="en-US"/>
    </w:rPr>
  </w:style>
  <w:style w:type="paragraph" w:customStyle="1" w:styleId="CharCharCharCharCharCharCharCharChar1Char">
    <w:name w:val="Char Char Char Char Char Char Char Char Char1 Char"/>
    <w:basedOn w:val="Normal"/>
    <w:next w:val="Normal"/>
    <w:qFormat/>
    <w:pPr>
      <w:spacing w:before="120" w:after="120" w:line="312" w:lineRule="auto"/>
    </w:pPr>
    <w:rPr>
      <w:szCs w:val="22"/>
    </w:rPr>
  </w:style>
  <w:style w:type="paragraph" w:customStyle="1" w:styleId="CharCharCharCharCharCharCharCharChar1Char1">
    <w:name w:val="Char Char Char Char Char Char Char Char Char1 Char1"/>
    <w:basedOn w:val="Normal"/>
    <w:next w:val="Normal"/>
    <w:qFormat/>
    <w:pPr>
      <w:spacing w:before="120" w:after="120" w:line="312" w:lineRule="auto"/>
    </w:pPr>
    <w:rPr>
      <w:szCs w:val="22"/>
    </w:rPr>
  </w:style>
  <w:style w:type="character" w:customStyle="1" w:styleId="apple-converted-space">
    <w:name w:val="apple-converted-space"/>
    <w:basedOn w:val="DefaultParagraphFont"/>
    <w:qFormat/>
    <w:rPr>
      <w:w w:val="100"/>
      <w:position w:val="-1"/>
      <w:vertAlign w:val="baseline"/>
      <w:cs w:val="0"/>
    </w:rPr>
  </w:style>
  <w:style w:type="paragraph" w:customStyle="1" w:styleId="1Char">
    <w:name w:val="1 Char"/>
    <w:basedOn w:val="DocumentMap"/>
    <w:qFormat/>
    <w:pPr>
      <w:widowControl w:val="0"/>
      <w:shd w:val="clear" w:color="auto" w:fill="000080"/>
      <w:jc w:val="both"/>
    </w:pPr>
    <w:rPr>
      <w:rFonts w:eastAsia="SimSun"/>
      <w:kern w:val="2"/>
      <w:sz w:val="24"/>
      <w:szCs w:val="24"/>
      <w:lang w:eastAsia="zh-CN"/>
    </w:rPr>
  </w:style>
  <w:style w:type="paragraph" w:customStyle="1" w:styleId="CharCharChar3Char">
    <w:name w:val="Char Char Char3 Char"/>
    <w:basedOn w:val="Normal"/>
    <w:next w:val="Normal"/>
    <w:qFormat/>
    <w:pPr>
      <w:spacing w:before="120" w:after="120" w:line="312" w:lineRule="auto"/>
    </w:pPr>
    <w:rPr>
      <w:szCs w:val="22"/>
    </w:rPr>
  </w:style>
  <w:style w:type="paragraph" w:styleId="ListParagraph">
    <w:name w:val="List Paragraph"/>
    <w:basedOn w:val="Normal"/>
    <w:qFormat/>
    <w:pPr>
      <w:spacing w:after="200" w:line="276" w:lineRule="auto"/>
      <w:ind w:left="720"/>
      <w:contextualSpacing/>
    </w:pPr>
    <w:rPr>
      <w:szCs w:val="22"/>
    </w:rPr>
  </w:style>
  <w:style w:type="character" w:customStyle="1" w:styleId="pbody1">
    <w:name w:val="pbody1"/>
    <w:qFormat/>
    <w:rPr>
      <w:rFonts w:ascii="Tahoma" w:hAnsi="Tahoma" w:cs="Tahoma" w:hint="default"/>
      <w:color w:val="000000"/>
      <w:w w:val="100"/>
      <w:position w:val="-1"/>
      <w:sz w:val="26"/>
      <w:szCs w:val="26"/>
      <w:vertAlign w:val="baseline"/>
      <w:cs w:val="0"/>
    </w:rPr>
  </w:style>
  <w:style w:type="paragraph" w:customStyle="1" w:styleId="CharCharChar1Char">
    <w:name w:val="Char Char Char1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fontstyle01">
    <w:name w:val="fontstyle01"/>
    <w:qFormat/>
    <w:rPr>
      <w:rFonts w:ascii="Times New Roman" w:hAnsi="Times New Roman" w:cs="Times New Roman" w:hint="default"/>
      <w:color w:val="000000"/>
      <w:w w:val="100"/>
      <w:position w:val="-1"/>
      <w:sz w:val="28"/>
      <w:szCs w:val="28"/>
      <w:vertAlign w:val="baseline"/>
      <w:cs w:val="0"/>
    </w:rPr>
  </w:style>
  <w:style w:type="character" w:customStyle="1" w:styleId="subject">
    <w:name w:val="subject"/>
    <w:basedOn w:val="DefaultParagraphFont"/>
    <w:qFormat/>
    <w:rPr>
      <w:w w:val="100"/>
      <w:position w:val="-1"/>
      <w:vertAlign w:val="baseline"/>
      <w:cs w:val="0"/>
    </w:rPr>
  </w:style>
  <w:style w:type="character" w:customStyle="1" w:styleId="markedcontent">
    <w:name w:val="markedcontent"/>
    <w:qFormat/>
    <w:rPr>
      <w:w w:val="100"/>
      <w:position w:val="-1"/>
      <w:vertAlign w:val="baseline"/>
      <w:cs w:val="0"/>
    </w:rPr>
  </w:style>
  <w:style w:type="paragraph" w:customStyle="1" w:styleId="4">
    <w:name w:val="4_"/>
    <w:basedOn w:val="Normal"/>
    <w:next w:val="Normal"/>
    <w:qFormat/>
    <w:pPr>
      <w:spacing w:after="160" w:line="240" w:lineRule="atLeast"/>
    </w:pPr>
    <w:rPr>
      <w:sz w:val="20"/>
      <w:szCs w:val="20"/>
      <w:vertAlign w:val="superscript"/>
      <w:lang w:val="vi-VN" w:eastAsia="vi-VN"/>
    </w:rPr>
  </w:style>
  <w:style w:type="table" w:customStyle="1" w:styleId="Style53">
    <w:name w:val="_Style 53"/>
    <w:basedOn w:val="TableNormal"/>
    <w:qFormat/>
    <w:tblPr/>
  </w:style>
  <w:style w:type="table" w:customStyle="1" w:styleId="Style54">
    <w:name w:val="_Style 54"/>
    <w:basedOn w:val="TableNormal"/>
    <w:qFormat/>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KpcKF9VkhisoLGdVuKY+rHNEvw==">CgMxLjAaEgoBMBINCgsIB0IHEgVDYXJkbzgAciExSmRJVjVoWGlBMWc0WFdGR2p2X1NGTDA1VG0xT294VUs=</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14</Pages>
  <Words>6226</Words>
  <Characters>35491</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Tường SKHĐT</cp:lastModifiedBy>
  <cp:revision>43</cp:revision>
  <dcterms:created xsi:type="dcterms:W3CDTF">2017-04-27T02:05:00Z</dcterms:created>
  <dcterms:modified xsi:type="dcterms:W3CDTF">2025-05-07T04:07:00Z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7697894273CE4252814E2968CD84A9D0_12</vt:lpwstr>
  </property>
</Properties>
</file>